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rPr>
      </w:pPr>
      <w:r>
        <w:rPr>
          <w:rFonts w:hint="eastAsia" w:ascii="黑体" w:hAnsi="黑体" w:eastAsia="黑体"/>
        </w:rPr>
        <w:t>附件1：</w:t>
      </w:r>
    </w:p>
    <w:p>
      <w:pPr>
        <w:rPr>
          <w:rFonts w:hint="eastAsia" w:ascii="仿宋" w:hAnsi="仿宋" w:eastAsia="仿宋"/>
        </w:rPr>
      </w:pPr>
    </w:p>
    <w:p>
      <w:pPr>
        <w:jc w:val="center"/>
        <w:rPr>
          <w:rFonts w:hint="eastAsia" w:ascii="宋体" w:hAnsi="宋体" w:eastAsia="宋体"/>
          <w:sz w:val="44"/>
          <w:szCs w:val="44"/>
        </w:rPr>
      </w:pPr>
      <w:r>
        <w:rPr>
          <w:rFonts w:hint="eastAsia" w:ascii="宋体" w:hAnsi="宋体" w:eastAsia="宋体"/>
          <w:sz w:val="44"/>
          <w:szCs w:val="44"/>
        </w:rPr>
        <w:t>工程师资格申报条件</w:t>
      </w:r>
    </w:p>
    <w:p>
      <w:pPr>
        <w:rPr>
          <w:rFonts w:hint="eastAsia" w:ascii="仿宋" w:hAnsi="仿宋" w:eastAsia="仿宋"/>
        </w:rPr>
      </w:pPr>
    </w:p>
    <w:p>
      <w:pPr>
        <w:ind w:firstLine="632" w:firstLineChars="200"/>
        <w:rPr>
          <w:rFonts w:ascii="黑体" w:hAnsi="黑体" w:eastAsia="黑体"/>
        </w:rPr>
      </w:pPr>
      <w:r>
        <w:rPr>
          <w:rFonts w:hint="eastAsia" w:ascii="黑体" w:hAnsi="黑体" w:eastAsia="黑体"/>
        </w:rPr>
        <w:t>一、思想道德条件</w:t>
      </w:r>
      <w:bookmarkStart w:id="0" w:name="_GoBack"/>
      <w:bookmarkEnd w:id="0"/>
    </w:p>
    <w:p>
      <w:pPr>
        <w:ind w:firstLine="632" w:firstLineChars="200"/>
        <w:rPr>
          <w:rFonts w:hint="eastAsia" w:ascii="仿宋" w:hAnsi="仿宋" w:eastAsia="仿宋"/>
        </w:rPr>
      </w:pPr>
      <w:r>
        <w:rPr>
          <w:rFonts w:hint="eastAsia" w:ascii="仿宋" w:hAnsi="仿宋" w:eastAsia="仿宋"/>
        </w:rPr>
        <w:t>遵守《中华人民共和国宪法》和法律法规，具有良好的职业道德和敬业精神，热爱本职工作，履行岗位职责，努力完成工作任务，积极为我省建设事业发展服务。有下列情形之一的，取消评审资格：</w:t>
      </w:r>
    </w:p>
    <w:p>
      <w:pPr>
        <w:ind w:firstLine="632" w:firstLineChars="200"/>
        <w:rPr>
          <w:rFonts w:hint="eastAsia" w:ascii="仿宋" w:hAnsi="仿宋" w:eastAsia="仿宋"/>
        </w:rPr>
      </w:pPr>
      <w:r>
        <w:rPr>
          <w:rFonts w:hint="eastAsia" w:ascii="仿宋" w:hAnsi="仿宋" w:eastAsia="仿宋"/>
        </w:rPr>
        <w:t>1.伪造、变造证件、证明等申报材料的；</w:t>
      </w:r>
    </w:p>
    <w:p>
      <w:pPr>
        <w:ind w:firstLine="632" w:firstLineChars="200"/>
        <w:rPr>
          <w:rFonts w:hint="eastAsia" w:ascii="仿宋" w:hAnsi="仿宋" w:eastAsia="仿宋"/>
        </w:rPr>
      </w:pPr>
      <w:r>
        <w:rPr>
          <w:rFonts w:hint="eastAsia" w:ascii="仿宋" w:hAnsi="仿宋" w:eastAsia="仿宋"/>
        </w:rPr>
        <w:t>2.有违纪违法行为，仍在处理、处分、处罚阶段或任现职后曾有严重违纪违法行为，在申报材料上瞒报的；</w:t>
      </w:r>
    </w:p>
    <w:p>
      <w:pPr>
        <w:ind w:firstLine="632" w:firstLineChars="200"/>
        <w:rPr>
          <w:rFonts w:hint="eastAsia" w:ascii="仿宋" w:hAnsi="仿宋" w:eastAsia="仿宋"/>
        </w:rPr>
      </w:pPr>
      <w:r>
        <w:rPr>
          <w:rFonts w:hint="eastAsia" w:ascii="仿宋" w:hAnsi="仿宋" w:eastAsia="仿宋"/>
        </w:rPr>
        <w:t>3.有其他严重违反评审规定行为的。</w:t>
      </w:r>
    </w:p>
    <w:p>
      <w:pPr>
        <w:ind w:firstLine="632" w:firstLineChars="200"/>
        <w:rPr>
          <w:rFonts w:hint="eastAsia" w:ascii="黑体" w:hAnsi="黑体" w:eastAsia="黑体"/>
        </w:rPr>
      </w:pPr>
      <w:r>
        <w:rPr>
          <w:rFonts w:hint="eastAsia" w:ascii="黑体" w:hAnsi="黑体" w:eastAsia="黑体"/>
        </w:rPr>
        <w:t>二、学历、资历要求</w:t>
      </w:r>
    </w:p>
    <w:p>
      <w:pPr>
        <w:ind w:firstLine="632" w:firstLineChars="200"/>
        <w:rPr>
          <w:rFonts w:hint="eastAsia" w:ascii="仿宋" w:hAnsi="仿宋" w:eastAsia="仿宋"/>
        </w:rPr>
      </w:pPr>
      <w:r>
        <w:rPr>
          <w:rFonts w:hint="eastAsia" w:ascii="楷体_GB2312" w:hAnsi="仿宋" w:eastAsia="楷体_GB2312"/>
        </w:rPr>
        <w:t>（一）正常申报：</w:t>
      </w:r>
      <w:r>
        <w:rPr>
          <w:rFonts w:hint="eastAsia" w:ascii="仿宋" w:hAnsi="仿宋" w:eastAsia="仿宋"/>
        </w:rPr>
        <w:t>工程技术类大学专科以上学历毕业，取得助理工程师资格后，实际担任助理工程师职务4年以上。</w:t>
      </w:r>
    </w:p>
    <w:p>
      <w:pPr>
        <w:ind w:firstLine="632" w:firstLineChars="200"/>
        <w:rPr>
          <w:rFonts w:hint="eastAsia" w:ascii="仿宋" w:hAnsi="仿宋" w:eastAsia="仿宋"/>
        </w:rPr>
      </w:pPr>
      <w:r>
        <w:rPr>
          <w:rFonts w:hint="eastAsia" w:ascii="仿宋" w:hAnsi="仿宋" w:eastAsia="仿宋"/>
        </w:rPr>
        <w:t>先参加工作后取得规定学历的人员，取得规定学历前后的助理工程师任职时间可以相加计算，达到任职时间要求的，可以申报工程师资格。</w:t>
      </w:r>
    </w:p>
    <w:p>
      <w:pPr>
        <w:ind w:firstLine="632" w:firstLineChars="200"/>
        <w:rPr>
          <w:rFonts w:hint="eastAsia" w:ascii="仿宋" w:hAnsi="仿宋" w:eastAsia="仿宋"/>
        </w:rPr>
      </w:pPr>
      <w:r>
        <w:rPr>
          <w:rFonts w:hint="eastAsia" w:ascii="仿宋" w:hAnsi="仿宋" w:eastAsia="仿宋"/>
        </w:rPr>
        <w:t>根据《杭州市建设工程专业初级专业技术职务任职资格考试暂行办法》（杭人专〔2004〕128）规定，考试取得的初级，在申报时现专业技术资格名称应填为建设初级，不应填为助理工程师。单位聘任为助理级需要达到以下条件：大专毕业任员级职务二年以上，中专毕业任员级四年以上；不具备上述学历（即最高学历为高中及以下），担任员级职务五年以上，经所在单位考核合格，可聘任助理级职务。</w:t>
      </w:r>
    </w:p>
    <w:p>
      <w:pPr>
        <w:ind w:firstLine="632" w:firstLineChars="200"/>
        <w:rPr>
          <w:rFonts w:hint="eastAsia" w:ascii="仿宋" w:hAnsi="仿宋" w:eastAsia="仿宋"/>
        </w:rPr>
      </w:pPr>
      <w:r>
        <w:rPr>
          <w:rFonts w:hint="eastAsia" w:ascii="楷体_GB2312" w:hAnsi="仿宋" w:eastAsia="楷体_GB2312"/>
        </w:rPr>
        <w:t>（二）自评申报。</w:t>
      </w:r>
      <w:r>
        <w:rPr>
          <w:rFonts w:hint="eastAsia" w:ascii="仿宋" w:hAnsi="仿宋" w:eastAsia="仿宋"/>
        </w:rPr>
        <w:t>不具备第（一）项规定的学历和资历，但根据《杭州市建设工程专业工程师职务任职资格审议评分表》达到105分以上（根据行业发展情况适时调整），且由2名具有本专业或相近专业高级工程师推荐申报的，可不具备规定学历和资历。</w:t>
      </w:r>
    </w:p>
    <w:p>
      <w:pPr>
        <w:ind w:firstLine="632" w:firstLineChars="200"/>
        <w:rPr>
          <w:rFonts w:hint="eastAsia" w:ascii="仿宋" w:hAnsi="仿宋" w:eastAsia="仿宋"/>
        </w:rPr>
      </w:pPr>
      <w:r>
        <w:rPr>
          <w:rFonts w:hint="eastAsia" w:ascii="楷体_GB2312" w:hAnsi="仿宋" w:eastAsia="楷体_GB2312"/>
        </w:rPr>
        <w:t>（三）直接申报。</w:t>
      </w:r>
      <w:r>
        <w:rPr>
          <w:rFonts w:hint="eastAsia" w:ascii="仿宋" w:hAnsi="仿宋" w:eastAsia="仿宋"/>
        </w:rPr>
        <w:t>对在企业一直从事专业技术工作，并已成为单位业务骨干的专业技术人员，申报评审中级专业技术资格时，如果符合下列条件，对是否具有助理级专业技术资格可不作要求：</w:t>
      </w:r>
    </w:p>
    <w:p>
      <w:pPr>
        <w:ind w:firstLine="632" w:firstLineChars="200"/>
        <w:rPr>
          <w:rFonts w:hint="eastAsia" w:ascii="仿宋" w:hAnsi="仿宋" w:eastAsia="仿宋"/>
        </w:rPr>
      </w:pPr>
      <w:r>
        <w:rPr>
          <w:rFonts w:hint="eastAsia" w:ascii="仿宋" w:hAnsi="仿宋" w:eastAsia="仿宋"/>
        </w:rPr>
        <w:t>1.大学专科毕业后，从事本专业或相近专业工作7年以上；</w:t>
      </w:r>
    </w:p>
    <w:p>
      <w:pPr>
        <w:ind w:firstLine="632" w:firstLineChars="200"/>
        <w:rPr>
          <w:rFonts w:hint="eastAsia" w:ascii="仿宋" w:hAnsi="仿宋" w:eastAsia="仿宋"/>
        </w:rPr>
      </w:pPr>
      <w:r>
        <w:rPr>
          <w:rFonts w:hint="eastAsia" w:ascii="仿宋" w:hAnsi="仿宋" w:eastAsia="仿宋"/>
        </w:rPr>
        <w:t>2.大学本科毕业后，从事本专业或相近专业工作5年以上;</w:t>
      </w:r>
    </w:p>
    <w:p>
      <w:pPr>
        <w:ind w:firstLine="632" w:firstLineChars="200"/>
        <w:rPr>
          <w:rFonts w:hint="eastAsia" w:ascii="仿宋" w:hAnsi="仿宋" w:eastAsia="仿宋"/>
        </w:rPr>
      </w:pPr>
      <w:r>
        <w:rPr>
          <w:rFonts w:hint="eastAsia" w:ascii="仿宋" w:hAnsi="仿宋" w:eastAsia="仿宋"/>
        </w:rPr>
        <w:t>3.获第二学士学位后（以《教育部学历证书电子注册备案表》或《教育部学籍在线验证报告》注明的学历为准），从事本专业或相近专业技术工作3年以上；</w:t>
      </w:r>
    </w:p>
    <w:p>
      <w:pPr>
        <w:ind w:firstLine="632" w:firstLineChars="200"/>
        <w:rPr>
          <w:rFonts w:hint="eastAsia" w:ascii="仿宋" w:hAnsi="仿宋" w:eastAsia="仿宋"/>
        </w:rPr>
      </w:pPr>
      <w:r>
        <w:rPr>
          <w:rFonts w:hint="eastAsia" w:ascii="仿宋" w:hAnsi="仿宋" w:eastAsia="仿宋"/>
        </w:rPr>
        <w:t>4.具有硕士研究生学历或硕士学位后，从事本专业或相近专业工作2年以上。</w:t>
      </w:r>
    </w:p>
    <w:p>
      <w:pPr>
        <w:ind w:firstLine="632" w:firstLineChars="200"/>
        <w:rPr>
          <w:rFonts w:hint="eastAsia" w:ascii="仿宋" w:hAnsi="仿宋" w:eastAsia="仿宋"/>
        </w:rPr>
      </w:pPr>
      <w:r>
        <w:rPr>
          <w:rFonts w:hint="eastAsia" w:ascii="仿宋" w:hAnsi="仿宋" w:eastAsia="仿宋"/>
        </w:rPr>
        <w:t>从企业调入到事业单位工作的正式在编人员，如果在企业从事本专业或相近专业技术工作的年限与现聘任助理级专业技术职务年限累计符合上述条件的，也可参照执行。</w:t>
      </w:r>
    </w:p>
    <w:p>
      <w:pPr>
        <w:ind w:firstLine="632" w:firstLineChars="200"/>
        <w:rPr>
          <w:rFonts w:hint="eastAsia" w:ascii="仿宋" w:hAnsi="仿宋" w:eastAsia="仿宋"/>
        </w:rPr>
      </w:pPr>
      <w:r>
        <w:rPr>
          <w:rFonts w:hint="eastAsia" w:ascii="楷体_GB2312" w:hAnsi="仿宋" w:eastAsia="楷体_GB2312"/>
        </w:rPr>
        <w:t>（四）技工院校毕业人员。</w:t>
      </w:r>
      <w:r>
        <w:rPr>
          <w:rFonts w:hint="eastAsia" w:ascii="仿宋" w:hAnsi="仿宋" w:eastAsia="仿宋"/>
        </w:rPr>
        <w:t>技工院校中级工班、高级工班、预备技师（技师）班毕业，可分别按相当于中专、大专、本科学历申报评审相应专业中级职称。</w:t>
      </w:r>
    </w:p>
    <w:p>
      <w:pPr>
        <w:ind w:firstLine="632" w:firstLineChars="200"/>
        <w:rPr>
          <w:rFonts w:hint="eastAsia" w:ascii="仿宋" w:hAnsi="仿宋" w:eastAsia="仿宋"/>
        </w:rPr>
      </w:pPr>
      <w:r>
        <w:rPr>
          <w:rFonts w:hint="eastAsia" w:ascii="楷体_GB2312" w:hAnsi="仿宋" w:eastAsia="楷体_GB2312"/>
        </w:rPr>
        <w:t>（五）高技能人员。</w:t>
      </w:r>
      <w:r>
        <w:rPr>
          <w:rFonts w:hint="eastAsia" w:ascii="仿宋" w:hAnsi="仿宋" w:eastAsia="仿宋"/>
        </w:rPr>
        <w:t>根据《人力资源社会保障部关于进一步加强高技能人才与专业技术人才职业发展贯通的实施意见》（人社部发〔2020〕96号）和《省人力资源和社会保障厅转发人力资源社会保障部关于在工程技术领域实现高技能人才与工程技术人才职业发展贯通的意见（试行）的通知》（浙人社发〔2019〕31号），获得技师职业资格或职业技能等级后从事技术技能工作满3年，申报中级职称（适用工程、农业、工艺美术、文物博物、实验技术、艺术、体育、技工院校教师等职称系列）评审时，对助理级职称和学历不作要求。</w:t>
      </w:r>
    </w:p>
    <w:p>
      <w:pPr>
        <w:ind w:firstLine="632" w:firstLineChars="200"/>
        <w:rPr>
          <w:rFonts w:hint="eastAsia" w:ascii="仿宋" w:hAnsi="仿宋" w:eastAsia="仿宋"/>
        </w:rPr>
      </w:pPr>
      <w:r>
        <w:rPr>
          <w:rFonts w:hint="eastAsia" w:ascii="仿宋" w:hAnsi="仿宋" w:eastAsia="仿宋"/>
        </w:rPr>
        <w:t>省级技能大师工作室领办人、省首席技师、全国技术能手，获得世界技能大赛优胜奖，国家级一类技能竞赛前五名、国家级二类技能竞赛前三名，省“百千万”高技能领军人才培养工程中入选“拔尖技能人才”的人员（以上认定以证书或文件为准），申报工程师评审时，对助理级职称和学历不作要求。</w:t>
      </w:r>
    </w:p>
    <w:p>
      <w:pPr>
        <w:ind w:firstLine="632" w:firstLineChars="200"/>
        <w:rPr>
          <w:rFonts w:hint="eastAsia" w:ascii="仿宋" w:hAnsi="仿宋" w:eastAsia="仿宋"/>
        </w:rPr>
      </w:pPr>
      <w:r>
        <w:rPr>
          <w:rFonts w:hint="eastAsia" w:ascii="楷体_GB2312" w:hAnsi="仿宋" w:eastAsia="楷体_GB2312"/>
        </w:rPr>
        <w:t>（六）标志性业绩直接申报。</w:t>
      </w:r>
      <w:r>
        <w:rPr>
          <w:rFonts w:hint="eastAsia" w:ascii="仿宋" w:hAnsi="仿宋" w:eastAsia="仿宋"/>
        </w:rPr>
        <w:t>省级技能大师工作室领办人、省首席技师、全国技术能手，获得世界技能大赛优胜奖，国家级一类技能竞赛前五名、国家级二类技能竞赛前三名，省“百千万”高技能领军人才培养工程中入选“拔尖技能人才”的人员（以上认定以证书或文件为准），申报工程师评审时，对助理级职称和学历不作要求。</w:t>
      </w:r>
    </w:p>
    <w:p>
      <w:pPr>
        <w:ind w:firstLine="632" w:firstLineChars="200"/>
        <w:rPr>
          <w:rFonts w:hint="eastAsia" w:ascii="仿宋" w:hAnsi="仿宋" w:eastAsia="仿宋"/>
        </w:rPr>
      </w:pPr>
      <w:r>
        <w:rPr>
          <w:rFonts w:hint="eastAsia" w:ascii="楷体_GB2312" w:hAnsi="仿宋" w:eastAsia="楷体_GB2312"/>
        </w:rPr>
        <w:t>（七）</w:t>
      </w:r>
      <w:r>
        <w:rPr>
          <w:rFonts w:hint="eastAsia" w:ascii="仿宋" w:hAnsi="仿宋" w:eastAsia="仿宋"/>
        </w:rPr>
        <w:t>申报人所学专业与从事专业原则上须一致或相近，否则视为不具备规定学历，但已取得所从事专业国家注册类资格证书的除外。不一致或不相近的可通过连续一年以上本专业脱产继续教育学习，取得相应的证书或证明后，将其最高学历（学位）认定为本专业或相近专业。取得不同专业学历（学位），但其中一个专业学历（学位）为建设工程专业或相近专业的，其学历（学位）可按取得的最高学历（学位）认定。</w:t>
      </w:r>
    </w:p>
    <w:p>
      <w:pPr>
        <w:ind w:firstLine="632" w:firstLineChars="200"/>
        <w:rPr>
          <w:rFonts w:hint="eastAsia" w:ascii="楷体_GB2312" w:hAnsi="仿宋" w:eastAsia="楷体_GB2312"/>
        </w:rPr>
      </w:pPr>
      <w:r>
        <w:rPr>
          <w:rFonts w:hint="eastAsia" w:ascii="楷体_GB2312" w:hAnsi="仿宋" w:eastAsia="楷体_GB2312"/>
        </w:rPr>
        <w:t>（八）其他人员</w:t>
      </w:r>
    </w:p>
    <w:p>
      <w:pPr>
        <w:ind w:firstLine="632" w:firstLineChars="200"/>
        <w:rPr>
          <w:rFonts w:hint="eastAsia" w:ascii="仿宋" w:hAnsi="仿宋" w:eastAsia="仿宋"/>
        </w:rPr>
      </w:pPr>
      <w:r>
        <w:rPr>
          <w:rFonts w:hint="eastAsia" w:ascii="仿宋" w:hAnsi="仿宋" w:eastAsia="仿宋"/>
        </w:rPr>
        <w:t>1.以考代评。从事计算机技术与软件、机动车检测维修、通信工程、医疗器械、工业设计等列入国家、省统一考试专业的，一律不予评审通过。</w:t>
      </w:r>
    </w:p>
    <w:p>
      <w:pPr>
        <w:ind w:firstLine="632" w:firstLineChars="200"/>
        <w:rPr>
          <w:rFonts w:hint="eastAsia" w:ascii="仿宋" w:hAnsi="仿宋" w:eastAsia="仿宋"/>
        </w:rPr>
      </w:pPr>
      <w:r>
        <w:rPr>
          <w:rFonts w:hint="eastAsia" w:ascii="仿宋" w:hAnsi="仿宋" w:eastAsia="仿宋"/>
        </w:rPr>
        <w:t>2.港澳台和外籍人员。在我市就业的港澳台专业技术人才，以及持有外国人永久居留证或海外高层次人才居住证的外籍人员，符合相关职称系列申报评审条件的，可按规定参加职称评审，其在港澳台等地区参与的项目、取得的成果等同等视为专业工作业绩，以及从事技术工作的年限同等视为专业技术工作年限。对首次评聘的高层次人才，可根据其学历、资历及业绩直接申报相应职称。</w:t>
      </w:r>
    </w:p>
    <w:p>
      <w:pPr>
        <w:ind w:firstLine="632" w:firstLineChars="200"/>
        <w:rPr>
          <w:rFonts w:hint="eastAsia" w:ascii="仿宋" w:hAnsi="仿宋" w:eastAsia="仿宋"/>
        </w:rPr>
      </w:pPr>
      <w:r>
        <w:rPr>
          <w:rFonts w:hint="eastAsia" w:ascii="仿宋" w:hAnsi="仿宋" w:eastAsia="仿宋"/>
        </w:rPr>
        <w:t>3.科技特派员。科技特派员派驻期间所从事的相关专业工作，可作为专业工作经历申报职称评审，期间取得的业绩和成果等纳入评审范围。</w:t>
      </w:r>
    </w:p>
    <w:p>
      <w:pPr>
        <w:ind w:firstLine="632" w:firstLineChars="200"/>
        <w:rPr>
          <w:rFonts w:hint="eastAsia" w:ascii="仿宋" w:hAnsi="仿宋" w:eastAsia="仿宋"/>
        </w:rPr>
      </w:pPr>
      <w:r>
        <w:rPr>
          <w:rFonts w:hint="eastAsia" w:ascii="仿宋" w:hAnsi="仿宋" w:eastAsia="仿宋"/>
        </w:rPr>
        <w:t>4.公务员不评职称。公务员（含参照管理工作人员）不得参加专业技术人才职称评审（含实行考评结合的系列）。</w:t>
      </w:r>
    </w:p>
    <w:p>
      <w:pPr>
        <w:ind w:firstLine="632" w:firstLineChars="200"/>
        <w:rPr>
          <w:rFonts w:hint="eastAsia" w:ascii="黑体" w:hAnsi="黑体" w:eastAsia="黑体"/>
        </w:rPr>
      </w:pPr>
      <w:r>
        <w:rPr>
          <w:rFonts w:hint="eastAsia" w:ascii="黑体" w:hAnsi="黑体" w:eastAsia="黑体"/>
        </w:rPr>
        <w:t>三、考核要求</w:t>
      </w:r>
    </w:p>
    <w:p>
      <w:pPr>
        <w:ind w:firstLine="632" w:firstLineChars="200"/>
        <w:rPr>
          <w:rFonts w:hint="eastAsia" w:ascii="仿宋" w:hAnsi="仿宋" w:eastAsia="仿宋"/>
        </w:rPr>
      </w:pPr>
      <w:r>
        <w:rPr>
          <w:rFonts w:hint="eastAsia" w:ascii="仿宋" w:hAnsi="仿宋" w:eastAsia="仿宋"/>
        </w:rPr>
        <w:t>申报人任现职内考核情况，至少有近3年考核应为合格及以上，考核资料填写内容要求真实完整，应与工作经历、工作业绩、职称聘任、获奖、本人述职等申报信息相符；需以年度为单元列表，杜绝以奖状替代、单句评语无业绩阐述和近3年合并考核；若年度内有工作单位调动的，以本年度最终工作单位为年度考核单位。</w:t>
      </w:r>
    </w:p>
    <w:p>
      <w:pPr>
        <w:ind w:firstLine="632" w:firstLineChars="200"/>
        <w:rPr>
          <w:rFonts w:hint="eastAsia" w:ascii="黑体" w:hAnsi="黑体" w:eastAsia="黑体"/>
        </w:rPr>
      </w:pPr>
      <w:r>
        <w:rPr>
          <w:rFonts w:hint="eastAsia" w:ascii="黑体" w:hAnsi="黑体" w:eastAsia="黑体"/>
        </w:rPr>
        <w:t>四、继续教育学分</w:t>
      </w:r>
    </w:p>
    <w:p>
      <w:pPr>
        <w:ind w:firstLine="632" w:firstLineChars="200"/>
        <w:rPr>
          <w:rFonts w:hint="eastAsia" w:ascii="仿宋" w:hAnsi="仿宋" w:eastAsia="仿宋"/>
        </w:rPr>
      </w:pPr>
      <w:r>
        <w:rPr>
          <w:rFonts w:hint="eastAsia" w:ascii="仿宋" w:hAnsi="仿宋" w:eastAsia="仿宋"/>
        </w:rPr>
        <w:t>一般公需科目、行业公需科目和专业科目2019年以来合计取得36学分即可申报，继续教育学分以杭州市专业技术人员学习新干线系统（https://learning.hzrs.hangzhou.gov.cn）登记的学分为准。</w:t>
      </w:r>
    </w:p>
    <w:p>
      <w:pPr>
        <w:ind w:firstLine="632" w:firstLineChars="200"/>
        <w:rPr>
          <w:rFonts w:hint="eastAsia" w:ascii="仿宋" w:hAnsi="仿宋" w:eastAsia="仿宋"/>
        </w:rPr>
      </w:pPr>
      <w:r>
        <w:rPr>
          <w:rFonts w:hint="eastAsia" w:ascii="仿宋" w:hAnsi="仿宋" w:eastAsia="仿宋"/>
        </w:rPr>
        <w:t>我市申报人员可以登录杭州市专业技术人员学习新干线单位账号，在“教务管理—学员管理—打印证书”选项中打印相关申报人员的学习情况证明并加盖单位公章后上传至“省平台”。</w:t>
      </w:r>
    </w:p>
    <w:p>
      <w:pPr>
        <w:ind w:firstLine="632" w:firstLineChars="200"/>
        <w:rPr>
          <w:rFonts w:hint="eastAsia" w:ascii="仿宋" w:hAnsi="仿宋" w:eastAsia="仿宋"/>
        </w:rPr>
      </w:pPr>
      <w:r>
        <w:rPr>
          <w:rFonts w:hint="eastAsia" w:ascii="黑体" w:hAnsi="黑体" w:eastAsia="黑体"/>
        </w:rPr>
        <w:t>五、</w:t>
      </w:r>
      <w:r>
        <w:rPr>
          <w:rFonts w:hint="eastAsia" w:ascii="仿宋" w:hAnsi="仿宋" w:eastAsia="仿宋"/>
        </w:rPr>
        <w:t>年龄、资历、年限计算截止时间均为评审当年12月31日，“以上”均含本级，“年”均为周年。</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黑体" w:hAnsi="黑体" w:eastAsia="黑体"/>
        </w:rPr>
      </w:pPr>
      <w:r>
        <w:rPr>
          <w:rFonts w:hint="eastAsia" w:ascii="黑体" w:hAnsi="黑体" w:eastAsia="黑体"/>
        </w:rPr>
        <w:t>附件2：</w:t>
      </w:r>
    </w:p>
    <w:p>
      <w:pPr>
        <w:rPr>
          <w:rFonts w:hint="eastAsia" w:ascii="仿宋" w:hAnsi="仿宋" w:eastAsia="仿宋"/>
        </w:rPr>
      </w:pPr>
    </w:p>
    <w:p>
      <w:pPr>
        <w:jc w:val="center"/>
        <w:rPr>
          <w:rFonts w:hint="eastAsia" w:ascii="宋体" w:hAnsi="宋体" w:eastAsia="宋体"/>
          <w:sz w:val="44"/>
          <w:szCs w:val="44"/>
        </w:rPr>
      </w:pPr>
      <w:r>
        <w:rPr>
          <w:rFonts w:hint="eastAsia" w:ascii="宋体" w:hAnsi="宋体" w:eastAsia="宋体"/>
          <w:sz w:val="44"/>
          <w:szCs w:val="44"/>
        </w:rPr>
        <w:t>申报评审流程和材料要求</w:t>
      </w:r>
    </w:p>
    <w:p>
      <w:pPr>
        <w:rPr>
          <w:rFonts w:hint="eastAsia" w:ascii="仿宋" w:hAnsi="仿宋" w:eastAsia="仿宋"/>
        </w:rPr>
      </w:pPr>
    </w:p>
    <w:p>
      <w:pPr>
        <w:ind w:firstLine="632" w:firstLineChars="200"/>
        <w:rPr>
          <w:rFonts w:ascii="仿宋" w:hAnsi="仿宋" w:eastAsia="仿宋"/>
          <w:szCs w:val="32"/>
        </w:rPr>
      </w:pPr>
      <w:r>
        <w:rPr>
          <w:rFonts w:hint="eastAsia" w:ascii="仿宋" w:hAnsi="仿宋" w:eastAsia="仿宋"/>
          <w:szCs w:val="32"/>
        </w:rPr>
        <w:t>申报评审主要有“完善个人信息和业绩档案库—申报人申报—申报单位审核—区、县（市）受理点审核—区、县（市）人社部门审核—评委会审核—评审缴费—资格公示—组织评议—评审结果公示—评审发文—申领电子证书”等流程。网上申报具体程序和材料要求如下：</w:t>
      </w:r>
    </w:p>
    <w:p>
      <w:pPr>
        <w:ind w:firstLine="632" w:firstLineChars="200"/>
        <w:rPr>
          <w:rFonts w:hint="eastAsia" w:ascii="黑体" w:hAnsi="黑体" w:eastAsia="黑体"/>
          <w:szCs w:val="32"/>
        </w:rPr>
      </w:pPr>
      <w:r>
        <w:rPr>
          <w:rFonts w:hint="eastAsia" w:ascii="黑体" w:hAnsi="黑体" w:eastAsia="黑体"/>
          <w:szCs w:val="32"/>
        </w:rPr>
        <w:t>一、完善个人信息和业绩档案库</w:t>
      </w:r>
    </w:p>
    <w:p>
      <w:pPr>
        <w:ind w:firstLine="632" w:firstLineChars="200"/>
        <w:rPr>
          <w:rFonts w:hint="eastAsia" w:ascii="仿宋" w:hAnsi="仿宋" w:eastAsia="仿宋"/>
          <w:szCs w:val="32"/>
        </w:rPr>
      </w:pPr>
      <w:r>
        <w:rPr>
          <w:rFonts w:hint="eastAsia" w:ascii="仿宋" w:hAnsi="仿宋" w:eastAsia="仿宋"/>
          <w:szCs w:val="32"/>
        </w:rPr>
        <w:t>申报人员登录浙江省专业技术职务任职资格申报与评审管理服务平台(网址：https://zcps.rlsbt.zj.gov.cn)后，分别点击进入“个人基本信息”和“我的业绩档案”菜单。申报人要对应省平台显示申报栏，认真、仔细和规范地逐项完成有关内容填写和资料上传工作。经检查无误后，点击“保存”，因操作不当、上传资料有误等其他原因导致影响评审结果的行为，由申报人负责（具体操作详见平台首页的《个人用户操作手册》）。</w:t>
      </w:r>
    </w:p>
    <w:p>
      <w:pPr>
        <w:ind w:firstLine="632" w:firstLineChars="200"/>
        <w:rPr>
          <w:rFonts w:hint="eastAsia" w:ascii="仿宋" w:hAnsi="仿宋" w:eastAsia="仿宋"/>
          <w:szCs w:val="32"/>
        </w:rPr>
      </w:pPr>
      <w:r>
        <w:rPr>
          <w:rFonts w:hint="eastAsia" w:ascii="仿宋" w:hAnsi="仿宋" w:eastAsia="仿宋"/>
          <w:szCs w:val="32"/>
        </w:rPr>
        <w:t>1.“我的业绩档案”保存后需经用人单位审查通过后才可在申报时提取。</w:t>
      </w:r>
    </w:p>
    <w:p>
      <w:pPr>
        <w:ind w:firstLine="632" w:firstLineChars="200"/>
        <w:rPr>
          <w:rFonts w:hint="eastAsia" w:ascii="仿宋" w:hAnsi="仿宋" w:eastAsia="仿宋"/>
          <w:szCs w:val="32"/>
        </w:rPr>
      </w:pPr>
      <w:r>
        <w:rPr>
          <w:rFonts w:hint="eastAsia" w:ascii="仿宋" w:hAnsi="仿宋" w:eastAsia="仿宋"/>
          <w:szCs w:val="32"/>
        </w:rPr>
        <w:t>2.若本单位初次使用本平台，需先由单位人事负责人注册用人单位账号，登录并通过本平台提交授权委托证明，绑定单位名称后，本单位申报人员才可填写“个人基本信息/现工作单位名称”信息。</w:t>
      </w:r>
    </w:p>
    <w:p>
      <w:pPr>
        <w:ind w:firstLine="632" w:firstLineChars="200"/>
        <w:rPr>
          <w:rFonts w:hint="eastAsia" w:ascii="黑体" w:hAnsi="黑体" w:eastAsia="黑体"/>
          <w:szCs w:val="32"/>
        </w:rPr>
      </w:pPr>
      <w:r>
        <w:rPr>
          <w:rFonts w:hint="eastAsia" w:ascii="黑体" w:hAnsi="黑体" w:eastAsia="黑体"/>
          <w:szCs w:val="32"/>
        </w:rPr>
        <w:t>二、职称申报</w:t>
      </w:r>
    </w:p>
    <w:p>
      <w:pPr>
        <w:ind w:firstLine="632" w:firstLineChars="200"/>
        <w:rPr>
          <w:rFonts w:hint="eastAsia" w:ascii="仿宋" w:hAnsi="仿宋" w:eastAsia="仿宋"/>
          <w:szCs w:val="32"/>
        </w:rPr>
      </w:pPr>
      <w:r>
        <w:rPr>
          <w:rFonts w:hint="eastAsia" w:ascii="仿宋" w:hAnsi="仿宋" w:eastAsia="仿宋"/>
          <w:szCs w:val="32"/>
        </w:rPr>
        <w:t>完善个人信息和业绩档案库后，申报人员进入“用户中心首页/中级职称评审”，选择“2021度杭州市建设工程专业技术人员工程师资格评审工作计划”，查看所有要求后，点击最下方的“马上申报”，进入职称评审申报页面。</w:t>
      </w:r>
    </w:p>
    <w:p>
      <w:pPr>
        <w:ind w:firstLine="632" w:firstLineChars="200"/>
        <w:rPr>
          <w:rFonts w:hint="eastAsia" w:ascii="仿宋" w:hAnsi="仿宋" w:eastAsia="仿宋"/>
          <w:szCs w:val="32"/>
        </w:rPr>
      </w:pPr>
      <w:r>
        <w:rPr>
          <w:rFonts w:hint="eastAsia" w:ascii="楷体_GB2312" w:hAnsi="仿宋" w:eastAsia="楷体_GB2312"/>
          <w:szCs w:val="32"/>
        </w:rPr>
        <w:t>（一）上传证件照。</w:t>
      </w:r>
      <w:r>
        <w:rPr>
          <w:rFonts w:hint="eastAsia" w:ascii="仿宋" w:hAnsi="仿宋" w:eastAsia="仿宋"/>
          <w:szCs w:val="32"/>
        </w:rPr>
        <w:t>照片用于制作职称电子证书，不符合相应要求将无法通过审核。照片应为1寸、2寸白底证件照，JPG或JPEG格式，文件大于30K且小于1M，大于215×300（宽×高）像素，照片宽高比大于等于0.65且小于等于0.8。上传后点击“下一步”，进入个人承诺页面。</w:t>
      </w:r>
    </w:p>
    <w:p>
      <w:pPr>
        <w:ind w:firstLine="632" w:firstLineChars="200"/>
        <w:rPr>
          <w:rFonts w:hint="eastAsia" w:ascii="仿宋" w:hAnsi="仿宋" w:eastAsia="仿宋"/>
          <w:szCs w:val="32"/>
        </w:rPr>
      </w:pPr>
      <w:r>
        <w:rPr>
          <w:rFonts w:hint="eastAsia" w:ascii="楷体_GB2312" w:hAnsi="仿宋" w:eastAsia="楷体_GB2312"/>
          <w:szCs w:val="32"/>
        </w:rPr>
        <w:t>（二）签署个人承诺。</w:t>
      </w:r>
      <w:r>
        <w:rPr>
          <w:rFonts w:hint="eastAsia" w:ascii="仿宋" w:hAnsi="仿宋" w:eastAsia="仿宋"/>
          <w:szCs w:val="32"/>
        </w:rPr>
        <w:t>申报人员对提交的所有材料真实性负责并作出承诺，扫描页面上的二维码，在线签署《专业技术资格申报材料真实性保证书》，字迹要求清晰，签署成功后点击“下一步”，进入“填写申报信息”页面。</w:t>
      </w:r>
    </w:p>
    <w:p>
      <w:pPr>
        <w:ind w:firstLine="632" w:firstLineChars="200"/>
        <w:rPr>
          <w:rFonts w:hint="eastAsia" w:ascii="仿宋" w:hAnsi="仿宋" w:eastAsia="仿宋"/>
          <w:szCs w:val="32"/>
        </w:rPr>
      </w:pPr>
      <w:r>
        <w:rPr>
          <w:rFonts w:hint="eastAsia" w:ascii="楷体_GB2312" w:hAnsi="仿宋" w:eastAsia="楷体_GB2312"/>
          <w:szCs w:val="32"/>
        </w:rPr>
        <w:t>（三）填写申报信息。</w:t>
      </w:r>
      <w:r>
        <w:rPr>
          <w:rFonts w:hint="eastAsia" w:ascii="仿宋" w:hAnsi="仿宋" w:eastAsia="仿宋"/>
          <w:szCs w:val="32"/>
        </w:rPr>
        <w:t>按要求填报各项申报信息，其中“本人述职”内容为专业工作业绩情况（限1000字以内），民营企业或非公单位根据单位所属关系选择相应的各区、县（市）受理点，然后点击“下一步”，进入“选择相关业绩”页面。</w:t>
      </w:r>
    </w:p>
    <w:p>
      <w:pPr>
        <w:ind w:firstLine="632" w:firstLineChars="200"/>
        <w:rPr>
          <w:rFonts w:hint="eastAsia" w:ascii="仿宋" w:hAnsi="仿宋" w:eastAsia="仿宋"/>
          <w:szCs w:val="32"/>
        </w:rPr>
      </w:pPr>
      <w:r>
        <w:rPr>
          <w:rFonts w:hint="eastAsia" w:ascii="仿宋" w:hAnsi="仿宋" w:eastAsia="仿宋"/>
          <w:szCs w:val="32"/>
        </w:rPr>
        <w:t>1&gt;若选择“正常申报”或其他申报方式，需在相应选择项打勾。</w:t>
      </w:r>
    </w:p>
    <w:p>
      <w:pPr>
        <w:ind w:firstLine="632" w:firstLineChars="200"/>
        <w:rPr>
          <w:rFonts w:hint="eastAsia" w:ascii="仿宋" w:hAnsi="仿宋" w:eastAsia="仿宋"/>
          <w:szCs w:val="32"/>
        </w:rPr>
      </w:pPr>
      <w:r>
        <w:rPr>
          <w:rFonts w:hint="eastAsia" w:ascii="仿宋" w:hAnsi="仿宋" w:eastAsia="仿宋"/>
          <w:szCs w:val="32"/>
        </w:rPr>
        <w:t>2.若选择“自评申报”，点击“开始自评”，自评分需达到105分才能申报（除系统自评外还需在附件中上传2名具有本专业或相近专业高级工程师签字的《评分表》扫描件和推荐人的高级工程师证书）。</w:t>
      </w:r>
    </w:p>
    <w:p>
      <w:pPr>
        <w:ind w:firstLine="632" w:firstLineChars="200"/>
        <w:rPr>
          <w:rFonts w:hint="eastAsia" w:ascii="仿宋" w:hAnsi="仿宋" w:eastAsia="仿宋"/>
          <w:szCs w:val="32"/>
        </w:rPr>
      </w:pPr>
      <w:r>
        <w:rPr>
          <w:rFonts w:hint="eastAsia" w:ascii="仿宋" w:hAnsi="仿宋" w:eastAsia="仿宋"/>
          <w:szCs w:val="32"/>
        </w:rPr>
        <w:t>3.直接申报人员请选择“正常申报”。</w:t>
      </w:r>
    </w:p>
    <w:p>
      <w:pPr>
        <w:ind w:firstLine="632" w:firstLineChars="200"/>
        <w:rPr>
          <w:rFonts w:hint="eastAsia" w:ascii="仿宋" w:hAnsi="仿宋" w:eastAsia="仿宋"/>
          <w:szCs w:val="32"/>
        </w:rPr>
      </w:pPr>
      <w:r>
        <w:rPr>
          <w:rFonts w:hint="eastAsia" w:ascii="仿宋" w:hAnsi="仿宋" w:eastAsia="仿宋"/>
          <w:szCs w:val="32"/>
        </w:rPr>
        <w:t>4.技能人才、高技能人才请选择“正常申报”，并上传佐证材料。</w:t>
      </w:r>
    </w:p>
    <w:p>
      <w:pPr>
        <w:ind w:firstLine="632" w:firstLineChars="200"/>
        <w:rPr>
          <w:rFonts w:hint="eastAsia" w:ascii="仿宋" w:hAnsi="仿宋" w:eastAsia="仿宋"/>
          <w:szCs w:val="32"/>
        </w:rPr>
      </w:pPr>
      <w:r>
        <w:rPr>
          <w:rFonts w:hint="eastAsia" w:ascii="仿宋" w:hAnsi="仿宋" w:eastAsia="仿宋"/>
          <w:szCs w:val="32"/>
        </w:rPr>
        <w:t>5.若选择“标志性业绩直接申报”，需填写标志性业绩具体内容，并上传佐证材料。</w:t>
      </w:r>
    </w:p>
    <w:p>
      <w:pPr>
        <w:ind w:firstLine="632" w:firstLineChars="200"/>
        <w:rPr>
          <w:rFonts w:hint="eastAsia" w:ascii="仿宋" w:hAnsi="仿宋" w:eastAsia="仿宋"/>
          <w:szCs w:val="32"/>
        </w:rPr>
      </w:pPr>
      <w:r>
        <w:rPr>
          <w:rFonts w:hint="eastAsia" w:ascii="楷体_GB2312" w:hAnsi="仿宋" w:eastAsia="楷体_GB2312"/>
          <w:szCs w:val="32"/>
        </w:rPr>
        <w:t>（四）选择相关业绩。</w:t>
      </w:r>
      <w:r>
        <w:rPr>
          <w:rFonts w:hint="eastAsia" w:ascii="仿宋" w:hAnsi="仿宋" w:eastAsia="仿宋"/>
          <w:szCs w:val="32"/>
        </w:rPr>
        <w:t>根据建设工程专业工程师评审要求，从个人业绩档案库中提取相应业绩材料。工程业绩材料要求突出专业代表性，不宜过多过杂，集体项目须提供本人系主要贡献者依据。完成后点击“下一步”，进入“上传相关附件”页面。</w:t>
      </w:r>
    </w:p>
    <w:p>
      <w:pPr>
        <w:ind w:firstLine="632" w:firstLineChars="200"/>
        <w:rPr>
          <w:rFonts w:hint="eastAsia" w:ascii="仿宋" w:hAnsi="仿宋" w:eastAsia="仿宋"/>
          <w:szCs w:val="32"/>
        </w:rPr>
      </w:pPr>
      <w:r>
        <w:rPr>
          <w:rFonts w:hint="eastAsia" w:ascii="楷体_GB2312" w:hAnsi="仿宋" w:eastAsia="楷体_GB2312"/>
          <w:szCs w:val="32"/>
        </w:rPr>
        <w:t>（五）上传相关附件（扫描件）。</w:t>
      </w:r>
      <w:r>
        <w:rPr>
          <w:rFonts w:hint="eastAsia" w:ascii="仿宋" w:hAnsi="仿宋" w:eastAsia="仿宋"/>
          <w:szCs w:val="32"/>
        </w:rPr>
        <w:t>根据评审工作计划要求，上传以下附件：</w:t>
      </w:r>
    </w:p>
    <w:p>
      <w:pPr>
        <w:ind w:firstLine="632" w:firstLineChars="200"/>
        <w:rPr>
          <w:rFonts w:hint="eastAsia" w:ascii="仿宋" w:hAnsi="仿宋" w:eastAsia="仿宋"/>
          <w:szCs w:val="32"/>
        </w:rPr>
      </w:pPr>
      <w:r>
        <w:rPr>
          <w:rFonts w:hint="eastAsia" w:ascii="仿宋" w:hAnsi="仿宋" w:eastAsia="仿宋"/>
          <w:szCs w:val="32"/>
        </w:rPr>
        <w:t>1.学历证书及认证材料。认证材料要求如下：</w:t>
      </w:r>
    </w:p>
    <w:p>
      <w:pPr>
        <w:ind w:firstLine="632" w:firstLineChars="200"/>
        <w:rPr>
          <w:rFonts w:hint="eastAsia" w:ascii="仿宋" w:hAnsi="仿宋" w:eastAsia="仿宋"/>
          <w:szCs w:val="32"/>
        </w:rPr>
      </w:pPr>
      <w:r>
        <w:rPr>
          <w:rFonts w:hint="eastAsia" w:ascii="仿宋" w:hAnsi="仿宋" w:eastAsia="仿宋"/>
          <w:szCs w:val="32"/>
        </w:rPr>
        <w:t>（1）国内大专以上学历（不含技工院校学历）人员应提供验证有效期内的《教育部学历证书电子注册备案表》（“省平台”可自动获取该“备案表”，若无法提取请自行上传。）</w:t>
      </w:r>
    </w:p>
    <w:p>
      <w:pPr>
        <w:ind w:firstLine="632" w:firstLineChars="200"/>
        <w:rPr>
          <w:rFonts w:hint="eastAsia" w:ascii="仿宋" w:hAnsi="仿宋" w:eastAsia="仿宋"/>
          <w:szCs w:val="32"/>
        </w:rPr>
      </w:pPr>
      <w:r>
        <w:rPr>
          <w:rFonts w:hint="eastAsia" w:ascii="仿宋" w:hAnsi="仿宋" w:eastAsia="仿宋"/>
          <w:szCs w:val="32"/>
        </w:rPr>
        <w:t>（2）无法提供《教育部学历证书电子注册备案表》的人员，应上传相应的《中国高等教育学历认证报告》。该“认证报告”向中国高等教育学生信息网（https://www.chsi.com.cn/）申请（请申报人员将查询有效期截止时间，设置至10月10日）。</w:t>
      </w:r>
    </w:p>
    <w:p>
      <w:pPr>
        <w:ind w:firstLine="632" w:firstLineChars="200"/>
        <w:rPr>
          <w:rFonts w:hint="eastAsia" w:ascii="仿宋" w:hAnsi="仿宋" w:eastAsia="仿宋"/>
          <w:szCs w:val="32"/>
        </w:rPr>
      </w:pPr>
      <w:r>
        <w:rPr>
          <w:rFonts w:hint="eastAsia" w:ascii="仿宋" w:hAnsi="仿宋" w:eastAsia="仿宋"/>
          <w:szCs w:val="32"/>
        </w:rPr>
        <w:t>（3）只取得国内硕士学位人员应上传教育部学位与研究生教育发展中心认证的《中国学位认证报告》。</w:t>
      </w:r>
    </w:p>
    <w:p>
      <w:pPr>
        <w:ind w:firstLine="632" w:firstLineChars="200"/>
        <w:rPr>
          <w:rFonts w:hint="eastAsia" w:ascii="仿宋" w:hAnsi="仿宋" w:eastAsia="仿宋"/>
          <w:szCs w:val="32"/>
        </w:rPr>
      </w:pPr>
      <w:r>
        <w:rPr>
          <w:rFonts w:hint="eastAsia" w:ascii="仿宋" w:hAnsi="仿宋" w:eastAsia="仿宋"/>
          <w:szCs w:val="32"/>
        </w:rPr>
        <w:t>（4）获得国外或港、澳、台地区学历、学位人员应提供教育部留学服务中心认证的《国外学历学位认证书》或《港澳台学历学位认证书》。</w:t>
      </w:r>
    </w:p>
    <w:p>
      <w:pPr>
        <w:ind w:firstLine="632" w:firstLineChars="200"/>
        <w:rPr>
          <w:rFonts w:hint="eastAsia" w:ascii="仿宋" w:hAnsi="仿宋" w:eastAsia="仿宋"/>
          <w:szCs w:val="32"/>
        </w:rPr>
      </w:pPr>
      <w:r>
        <w:rPr>
          <w:rFonts w:hint="eastAsia" w:ascii="仿宋" w:hAnsi="仿宋" w:eastAsia="仿宋"/>
          <w:szCs w:val="32"/>
        </w:rPr>
        <w:t>（5）技工院校毕业人员应提供全国技工院校毕业证书查询系统（http://jxzs.mohrss.gov.cn）查询结果截图（请申报人员将查询有效期截止时间，设置至10月10日）或人事档案管理部门盖章的《毕业生登记表》。中专学历毕业人员应提供人事档案管理部门盖章的《毕业生登记表》。</w:t>
      </w:r>
    </w:p>
    <w:p>
      <w:pPr>
        <w:ind w:firstLine="632" w:firstLineChars="200"/>
        <w:rPr>
          <w:rFonts w:hint="eastAsia" w:ascii="仿宋" w:hAnsi="仿宋" w:eastAsia="仿宋"/>
          <w:szCs w:val="32"/>
        </w:rPr>
      </w:pPr>
      <w:r>
        <w:rPr>
          <w:rFonts w:hint="eastAsia" w:ascii="仿宋" w:hAnsi="仿宋" w:eastAsia="仿宋"/>
          <w:szCs w:val="32"/>
        </w:rPr>
        <w:t>2.现任专业技术职务资格聘书。正常申报人员至少应上传助理级专业技术职务聘任满4年的聘任文件或聘任书，申报第二个专业工程师资格人员应上传现中级专业技术职务聘任文件或聘任书。事业单位编制人员应提供职务聘任书或聘任文件，企业人员可以提供劳动合同代替（内容应明确在什么专业技术岗位工作，应能反映专业工作经历)。</w:t>
      </w:r>
    </w:p>
    <w:p>
      <w:pPr>
        <w:ind w:firstLine="632" w:firstLineChars="200"/>
        <w:rPr>
          <w:rFonts w:hint="eastAsia" w:ascii="仿宋" w:hAnsi="仿宋" w:eastAsia="仿宋"/>
          <w:szCs w:val="32"/>
        </w:rPr>
      </w:pPr>
      <w:r>
        <w:rPr>
          <w:rFonts w:hint="eastAsia" w:ascii="仿宋" w:hAnsi="仿宋" w:eastAsia="仿宋"/>
          <w:szCs w:val="32"/>
        </w:rPr>
        <w:t>3.事业单位人员中级职称申报岗位信息表。适用于事业单位在编人员，非在编人员需提供单位说明，并上传省平台。</w:t>
      </w:r>
    </w:p>
    <w:p>
      <w:pPr>
        <w:ind w:firstLine="632" w:firstLineChars="200"/>
        <w:rPr>
          <w:rFonts w:hint="eastAsia" w:ascii="仿宋" w:hAnsi="仿宋" w:eastAsia="仿宋"/>
          <w:szCs w:val="32"/>
        </w:rPr>
      </w:pPr>
      <w:r>
        <w:rPr>
          <w:rFonts w:hint="eastAsia" w:ascii="仿宋" w:hAnsi="仿宋" w:eastAsia="仿宋"/>
          <w:szCs w:val="32"/>
        </w:rPr>
        <w:t>4.杭州市建设工程专业工程师职务任职资格审议评分表。适用于自评申报人员，需自评达到105分并提供2名具有本专业或相近专业高级工程师签字的《评分表》扫描件和推荐人的高级工程师证书扫描件，并上传省平台。</w:t>
      </w:r>
    </w:p>
    <w:p>
      <w:pPr>
        <w:ind w:firstLine="632" w:firstLineChars="200"/>
        <w:rPr>
          <w:rFonts w:hint="eastAsia" w:ascii="仿宋" w:hAnsi="仿宋" w:eastAsia="仿宋"/>
          <w:szCs w:val="32"/>
        </w:rPr>
      </w:pPr>
      <w:r>
        <w:rPr>
          <w:rFonts w:hint="eastAsia" w:ascii="仿宋" w:hAnsi="仿宋" w:eastAsia="仿宋"/>
          <w:szCs w:val="32"/>
        </w:rPr>
        <w:t>5.省外社保缴纳证明。系统可自动获取省内社保记录，外省社保记录请自行上传。</w:t>
      </w:r>
    </w:p>
    <w:p>
      <w:pPr>
        <w:ind w:firstLine="632" w:firstLineChars="200"/>
        <w:rPr>
          <w:rFonts w:hint="eastAsia" w:ascii="仿宋" w:hAnsi="仿宋" w:eastAsia="仿宋"/>
          <w:szCs w:val="32"/>
        </w:rPr>
      </w:pPr>
      <w:r>
        <w:rPr>
          <w:rFonts w:hint="eastAsia" w:ascii="仿宋" w:hAnsi="仿宋" w:eastAsia="仿宋"/>
          <w:szCs w:val="32"/>
        </w:rPr>
        <w:t>6.学时登记证明。申报人员可以登录杭州市专业技术人员学习新干线单位账号，在“教务管理—学员管理—打印证书”选项中打印相关申报人员的学习情况证明并加盖单位公章。</w:t>
      </w:r>
    </w:p>
    <w:p>
      <w:pPr>
        <w:ind w:firstLine="632" w:firstLineChars="200"/>
        <w:rPr>
          <w:rFonts w:hint="eastAsia" w:ascii="仿宋" w:hAnsi="仿宋" w:eastAsia="仿宋"/>
          <w:szCs w:val="32"/>
        </w:rPr>
      </w:pPr>
      <w:r>
        <w:rPr>
          <w:rFonts w:hint="eastAsia" w:ascii="仿宋" w:hAnsi="仿宋" w:eastAsia="仿宋"/>
          <w:szCs w:val="32"/>
        </w:rPr>
        <w:t>所有附件确认上传无误后，点击“下一步”，进入“预览确认提交”页面。</w:t>
      </w:r>
    </w:p>
    <w:p>
      <w:pPr>
        <w:ind w:firstLine="632" w:firstLineChars="200"/>
        <w:rPr>
          <w:rFonts w:hint="eastAsia" w:ascii="仿宋" w:hAnsi="仿宋" w:eastAsia="仿宋"/>
          <w:szCs w:val="32"/>
        </w:rPr>
      </w:pPr>
      <w:r>
        <w:rPr>
          <w:rFonts w:hint="eastAsia" w:ascii="楷体_GB2312" w:hAnsi="仿宋" w:eastAsia="楷体_GB2312"/>
          <w:szCs w:val="32"/>
        </w:rPr>
        <w:t>（六）确认申报信息。</w:t>
      </w:r>
      <w:r>
        <w:rPr>
          <w:rFonts w:hint="eastAsia" w:ascii="仿宋" w:hAnsi="仿宋" w:eastAsia="仿宋"/>
          <w:szCs w:val="32"/>
        </w:rPr>
        <w:t>预览所有申报信息无误后，点击“提交”，由所在单位审核并报所属主管部门。</w:t>
      </w:r>
    </w:p>
    <w:p>
      <w:pPr>
        <w:ind w:firstLine="632" w:firstLineChars="200"/>
        <w:rPr>
          <w:rFonts w:hint="eastAsia" w:ascii="仿宋" w:hAnsi="仿宋" w:eastAsia="仿宋"/>
          <w:szCs w:val="32"/>
        </w:rPr>
      </w:pPr>
      <w:r>
        <w:rPr>
          <w:rFonts w:hint="eastAsia" w:ascii="楷体_GB2312" w:hAnsi="仿宋" w:eastAsia="楷体_GB2312"/>
          <w:szCs w:val="32"/>
        </w:rPr>
        <w:t>（七）费用缴纳。</w:t>
      </w:r>
      <w:r>
        <w:rPr>
          <w:rFonts w:hint="eastAsia" w:ascii="仿宋" w:hAnsi="仿宋" w:eastAsia="仿宋"/>
          <w:szCs w:val="32"/>
        </w:rPr>
        <w:t>区、县（市）人力社保部门审核通过后申报人员可根据“省平台”提示信息，在规定时间内完成相关费用缴纳，不缴费不评审。</w:t>
      </w:r>
    </w:p>
    <w:p>
      <w:pPr>
        <w:ind w:firstLine="632" w:firstLineChars="200"/>
        <w:rPr>
          <w:rFonts w:hint="eastAsia" w:ascii="仿宋" w:hAnsi="仿宋" w:eastAsia="仿宋"/>
          <w:szCs w:val="32"/>
        </w:rPr>
      </w:pPr>
      <w:r>
        <w:rPr>
          <w:rFonts w:hint="eastAsia" w:ascii="楷体_GB2312" w:hAnsi="仿宋" w:eastAsia="楷体_GB2312"/>
          <w:szCs w:val="32"/>
        </w:rPr>
        <w:t>（八）报送评审表。</w:t>
      </w:r>
      <w:r>
        <w:rPr>
          <w:rFonts w:hint="eastAsia" w:ascii="仿宋" w:hAnsi="仿宋" w:eastAsia="仿宋"/>
          <w:szCs w:val="32"/>
        </w:rPr>
        <w:t>缴费成功后，企业申报人员导出带有“浙江省专业技术任职资格申报与评审管理平台”水印的评审表（一式两份），经所在单位审核盖章后报所属区、县（市）受理点。</w:t>
      </w:r>
    </w:p>
    <w:p>
      <w:pPr>
        <w:ind w:firstLine="632" w:firstLineChars="200"/>
        <w:rPr>
          <w:rFonts w:hint="eastAsia" w:ascii="仿宋" w:hAnsi="仿宋" w:eastAsia="仿宋"/>
          <w:szCs w:val="32"/>
        </w:rPr>
      </w:pPr>
      <w:r>
        <w:rPr>
          <w:rFonts w:hint="eastAsia" w:ascii="仿宋" w:hAnsi="仿宋" w:eastAsia="仿宋"/>
          <w:szCs w:val="32"/>
        </w:rPr>
        <w:t>市直单位所属的企事业单位申报人员，评审表应报送至各自所属的市直单位，由各市直单位审核盖章后报市建委职改办受理点进行上报。</w:t>
      </w:r>
    </w:p>
    <w:p>
      <w:pPr>
        <w:ind w:firstLine="632" w:firstLineChars="200"/>
        <w:rPr>
          <w:rFonts w:hint="eastAsia" w:ascii="仿宋" w:hAnsi="仿宋" w:eastAsia="仿宋"/>
          <w:szCs w:val="32"/>
        </w:rPr>
      </w:pPr>
      <w:r>
        <w:rPr>
          <w:rFonts w:hint="eastAsia" w:ascii="楷体_GB2312" w:hAnsi="仿宋" w:eastAsia="楷体_GB2312"/>
          <w:szCs w:val="32"/>
        </w:rPr>
        <w:t>（九）组织评审。</w:t>
      </w:r>
      <w:r>
        <w:rPr>
          <w:rFonts w:hint="eastAsia" w:ascii="仿宋" w:hAnsi="仿宋" w:eastAsia="仿宋"/>
          <w:szCs w:val="32"/>
        </w:rPr>
        <w:t>中评委办公室负责对申报人相关信息进行公示，公示期不少于5个工作日，无异议后，组织专家评审。</w:t>
      </w:r>
    </w:p>
    <w:p>
      <w:pPr>
        <w:ind w:firstLine="632" w:firstLineChars="200"/>
        <w:rPr>
          <w:rFonts w:hint="eastAsia" w:ascii="仿宋" w:hAnsi="仿宋" w:eastAsia="仿宋"/>
          <w:szCs w:val="32"/>
        </w:rPr>
      </w:pPr>
      <w:r>
        <w:rPr>
          <w:rFonts w:hint="eastAsia" w:ascii="楷体_GB2312" w:hAnsi="仿宋" w:eastAsia="楷体_GB2312"/>
          <w:szCs w:val="32"/>
        </w:rPr>
        <w:t>（十）评审结果公示。</w:t>
      </w:r>
      <w:r>
        <w:rPr>
          <w:rFonts w:hint="eastAsia" w:ascii="仿宋" w:hAnsi="仿宋" w:eastAsia="仿宋"/>
          <w:szCs w:val="32"/>
        </w:rPr>
        <w:t>评审结束后，中评委办公室公示评审结果，公示期不少于5个工作日，无异议后，评审结果报市人力社保局。</w:t>
      </w:r>
    </w:p>
    <w:p>
      <w:pPr>
        <w:ind w:firstLine="632" w:firstLineChars="200"/>
        <w:rPr>
          <w:rFonts w:hint="eastAsia" w:ascii="仿宋" w:hAnsi="仿宋" w:eastAsia="仿宋"/>
          <w:szCs w:val="32"/>
        </w:rPr>
      </w:pPr>
      <w:r>
        <w:rPr>
          <w:rFonts w:hint="eastAsia" w:ascii="楷体_GB2312" w:hAnsi="仿宋" w:eastAsia="楷体_GB2312"/>
          <w:szCs w:val="32"/>
        </w:rPr>
        <w:t>（十一）发文公布。</w:t>
      </w:r>
      <w:r>
        <w:rPr>
          <w:rFonts w:hint="eastAsia" w:ascii="仿宋" w:hAnsi="仿宋" w:eastAsia="仿宋"/>
          <w:szCs w:val="32"/>
        </w:rPr>
        <w:t>市人力社保局和市建委审核评审结果并发文公布。文件公布后，“省平台”生成电子证书信息。</w:t>
      </w:r>
    </w:p>
    <w:p>
      <w:pPr>
        <w:ind w:firstLine="632" w:firstLineChars="200"/>
        <w:rPr>
          <w:rFonts w:hint="eastAsia" w:ascii="仿宋" w:hAnsi="仿宋" w:eastAsia="仿宋"/>
          <w:szCs w:val="32"/>
        </w:rPr>
      </w:pPr>
      <w:r>
        <w:rPr>
          <w:rFonts w:hint="eastAsia" w:ascii="楷体_GB2312" w:hAnsi="仿宋" w:eastAsia="楷体_GB2312"/>
          <w:szCs w:val="32"/>
        </w:rPr>
        <w:t>（十二）评审表归档。</w:t>
      </w:r>
      <w:r>
        <w:rPr>
          <w:rFonts w:hint="eastAsia" w:ascii="仿宋" w:hAnsi="仿宋" w:eastAsia="仿宋"/>
          <w:szCs w:val="32"/>
        </w:rPr>
        <w:t>评委会办公室将评审表退还至各区、县（市）受理点或市直单位，由区、县（市）受理点或市直单位退至申报单位，并将评审表放入申报人员个人档案。</w:t>
      </w:r>
    </w:p>
    <w:p>
      <w:pPr>
        <w:ind w:firstLine="632" w:firstLineChars="200"/>
        <w:rPr>
          <w:rFonts w:hint="eastAsia" w:ascii="楷体_GB2312" w:hAnsi="仿宋" w:eastAsia="楷体_GB2312"/>
          <w:szCs w:val="32"/>
        </w:rPr>
      </w:pPr>
      <w:r>
        <w:rPr>
          <w:rFonts w:hint="eastAsia" w:ascii="楷体_GB2312" w:hAnsi="仿宋" w:eastAsia="楷体_GB2312"/>
          <w:szCs w:val="32"/>
        </w:rPr>
        <w:t>（十三）特别提醒。</w:t>
      </w:r>
    </w:p>
    <w:p>
      <w:pPr>
        <w:ind w:firstLine="632" w:firstLineChars="200"/>
        <w:rPr>
          <w:rFonts w:hint="eastAsia" w:ascii="仿宋" w:hAnsi="仿宋" w:eastAsia="仿宋"/>
          <w:szCs w:val="32"/>
        </w:rPr>
      </w:pPr>
      <w:r>
        <w:rPr>
          <w:rFonts w:hint="eastAsia" w:ascii="仿宋" w:hAnsi="仿宋" w:eastAsia="仿宋"/>
          <w:szCs w:val="32"/>
        </w:rPr>
        <w:t>1.从事专业栏：指申报相应专业技术资格时所从事的专业，制作资格证书时要打印在证书上“专业名称”栏内，专业名称详见省平台评审计划/可评审专业。</w:t>
      </w:r>
    </w:p>
    <w:p>
      <w:pPr>
        <w:ind w:firstLine="632" w:firstLineChars="200"/>
        <w:rPr>
          <w:rFonts w:hint="eastAsia" w:ascii="仿宋" w:hAnsi="仿宋" w:eastAsia="仿宋"/>
          <w:szCs w:val="32"/>
        </w:rPr>
      </w:pPr>
      <w:r>
        <w:rPr>
          <w:rFonts w:hint="eastAsia" w:ascii="仿宋" w:hAnsi="仿宋" w:eastAsia="仿宋"/>
          <w:szCs w:val="32"/>
        </w:rPr>
        <w:t>2.申报类别：即为申报系统中的申报类型，统一按“规划与设计类”、“施工与监理类”和“技术管理类”选择填写。</w:t>
      </w:r>
    </w:p>
    <w:p>
      <w:pPr>
        <w:ind w:firstLine="632" w:firstLineChars="200"/>
        <w:rPr>
          <w:rFonts w:hint="eastAsia" w:ascii="仿宋" w:hAnsi="仿宋" w:eastAsia="仿宋"/>
          <w:szCs w:val="32"/>
        </w:rPr>
      </w:pPr>
      <w:r>
        <w:rPr>
          <w:rFonts w:hint="eastAsia" w:ascii="仿宋" w:hAnsi="仿宋" w:eastAsia="仿宋"/>
          <w:szCs w:val="32"/>
        </w:rPr>
        <w:t>3.量化评分是指评委会按专业评议组组织专家，依据《评价标准》的要求对申报人员申报材料进行评议评分，累计计分，需达到合格分数线以上。达到合格分数线以上是评审通过条件之一。</w:t>
      </w:r>
    </w:p>
    <w:p>
      <w:pPr>
        <w:ind w:firstLine="632" w:firstLineChars="200"/>
        <w:rPr>
          <w:rFonts w:hint="eastAsia" w:ascii="仿宋" w:hAnsi="仿宋" w:eastAsia="仿宋"/>
          <w:szCs w:val="32"/>
        </w:rPr>
      </w:pPr>
      <w:r>
        <w:rPr>
          <w:rFonts w:hint="eastAsia" w:ascii="仿宋" w:hAnsi="仿宋" w:eastAsia="仿宋"/>
          <w:szCs w:val="32"/>
        </w:rPr>
        <w:t>4.申报人员应重视省平台显示的内容，严格按照平台显示的栏目逐项对应申报，并提供相应的有效佐证材料；如因申报人未按照平台栏目内容对应申报并录入相应佐证材料，造成相应业绩不得分的，由申报人自行承担相应责任。同时，对工作业绩和个人述职是反映申报人任现职以来的内容，反映的内容要真实、清晰和完整。</w:t>
      </w:r>
    </w:p>
    <w:p>
      <w:pPr>
        <w:ind w:firstLine="632" w:firstLineChars="200"/>
        <w:rPr>
          <w:rFonts w:hint="eastAsia" w:ascii="仿宋" w:hAnsi="仿宋" w:eastAsia="仿宋"/>
          <w:szCs w:val="32"/>
        </w:rPr>
      </w:pPr>
      <w:r>
        <w:rPr>
          <w:rFonts w:hint="eastAsia" w:ascii="仿宋" w:hAnsi="仿宋" w:eastAsia="仿宋"/>
          <w:szCs w:val="32"/>
        </w:rPr>
        <w:t>5.申报人员参加行业内认可的各类专业培训及取得国家注册类执业资格人员是否注册，记入量化评分项。</w:t>
      </w:r>
    </w:p>
    <w:p>
      <w:pPr>
        <w:ind w:firstLine="632" w:firstLineChars="200"/>
        <w:rPr>
          <w:rFonts w:hint="eastAsia" w:ascii="仿宋" w:hAnsi="仿宋" w:eastAsia="仿宋"/>
          <w:szCs w:val="32"/>
        </w:rPr>
      </w:pPr>
      <w:r>
        <w:rPr>
          <w:rFonts w:hint="eastAsia" w:ascii="仿宋" w:hAnsi="仿宋" w:eastAsia="仿宋"/>
          <w:szCs w:val="32"/>
        </w:rPr>
        <w:t>6.对参与一般项目2个及以下，或技术骨干一般项目1个、或参与中等复杂项目1个的申报人员，不参加工程师评审。工程业绩子项低于40分的申报人员，不能参加工程师评审。</w:t>
      </w:r>
    </w:p>
    <w:p>
      <w:pPr>
        <w:ind w:firstLine="632" w:firstLineChars="200"/>
        <w:rPr>
          <w:rFonts w:hint="eastAsia" w:ascii="仿宋" w:hAnsi="仿宋" w:eastAsia="仿宋"/>
          <w:szCs w:val="32"/>
        </w:rPr>
      </w:pPr>
      <w:r>
        <w:rPr>
          <w:rFonts w:hint="eastAsia" w:ascii="仿宋" w:hAnsi="仿宋" w:eastAsia="仿宋"/>
          <w:szCs w:val="32"/>
        </w:rPr>
        <w:t>7.技术骨干是指：承担工程项目具体实施工作，独立处理各种常见技术问题的专业人员。如建筑施工专业中项目副经理、施工员、工种技术负责人、质量员、安全员、监理、定额与造价管理人员等。</w:t>
      </w:r>
    </w:p>
    <w:p>
      <w:pPr>
        <w:ind w:firstLine="632" w:firstLineChars="200"/>
        <w:rPr>
          <w:rFonts w:hint="eastAsia" w:ascii="仿宋" w:hAnsi="仿宋" w:eastAsia="仿宋"/>
          <w:szCs w:val="32"/>
        </w:rPr>
      </w:pPr>
      <w:r>
        <w:rPr>
          <w:rFonts w:hint="eastAsia" w:ascii="仿宋" w:hAnsi="仿宋" w:eastAsia="仿宋"/>
          <w:szCs w:val="32"/>
        </w:rPr>
        <w:t>8.综合性专业奖项：国家级包括詹天佑土木工程大奖、中国建筑工程鲁班奖、国家优质工程奖；浙江省包括钱江杯；杭州市包括西湖杯；县市区，如湘湖杯等。</w:t>
      </w:r>
    </w:p>
    <w:p>
      <w:pPr>
        <w:ind w:firstLine="632" w:firstLineChars="200"/>
        <w:rPr>
          <w:rFonts w:hint="eastAsia" w:ascii="仿宋" w:hAnsi="仿宋" w:eastAsia="仿宋"/>
          <w:szCs w:val="32"/>
        </w:rPr>
      </w:pPr>
      <w:r>
        <w:rPr>
          <w:rFonts w:hint="eastAsia" w:ascii="仿宋" w:hAnsi="仿宋" w:eastAsia="仿宋"/>
          <w:szCs w:val="32"/>
        </w:rPr>
        <w:t>9.单项奖：国家康居住宅示范工程全国奖、全国建筑业新技术应用示范工程、全国建筑工程装饰奖、钢结构金奖、空间结构优秀工程奖，全国优秀项目经理；浙江省建筑工程装饰奖、浙江省安装工程质量奖、浙江省优秀质量管理奖(QC)、浙江省(QC)成果奖、浙江省建筑业新技术应用示范工程、浙江省“安全生产、文明施工”工地，浙江省优秀项目经理；杭州市建筑工程装饰、杭州市优秀质量管理奖(QC)、杭州市(QC)成果奖、杭州市建筑业新技术应用示范工程、杭州市标化样板工地、杭州市优秀项目经理等。</w:t>
      </w:r>
    </w:p>
    <w:p>
      <w:pPr>
        <w:ind w:firstLine="632" w:firstLineChars="200"/>
        <w:rPr>
          <w:rFonts w:hint="eastAsia" w:ascii="仿宋" w:hAnsi="仿宋" w:eastAsia="仿宋"/>
          <w:szCs w:val="32"/>
        </w:rPr>
      </w:pPr>
      <w:r>
        <w:rPr>
          <w:rFonts w:hint="eastAsia" w:ascii="仿宋" w:hAnsi="仿宋" w:eastAsia="仿宋"/>
          <w:szCs w:val="32"/>
        </w:rPr>
        <w:t>10.其他省、市的相应奖项如：上海市建筑业新技术应用示范工程、白玉兰奖、南湖杯等以此类推。</w:t>
      </w:r>
    </w:p>
    <w:p>
      <w:pPr>
        <w:ind w:firstLine="632" w:firstLineChars="200"/>
        <w:rPr>
          <w:rFonts w:hint="eastAsia" w:ascii="仿宋" w:hAnsi="仿宋" w:eastAsia="仿宋"/>
          <w:szCs w:val="32"/>
        </w:rPr>
      </w:pPr>
      <w:r>
        <w:rPr>
          <w:rFonts w:hint="eastAsia" w:ascii="仿宋" w:hAnsi="仿宋" w:eastAsia="仿宋"/>
          <w:szCs w:val="32"/>
        </w:rPr>
        <w:t>11.申报人员所需论文1篇，工程项目业绩一般评议3个项目。</w:t>
      </w:r>
    </w:p>
    <w:p>
      <w:pPr>
        <w:ind w:firstLine="632" w:firstLineChars="200"/>
        <w:rPr>
          <w:rFonts w:hint="eastAsia" w:ascii="仿宋" w:hAnsi="仿宋" w:eastAsia="仿宋"/>
          <w:szCs w:val="32"/>
        </w:rPr>
      </w:pPr>
      <w:r>
        <w:rPr>
          <w:rFonts w:hint="eastAsia" w:ascii="仿宋" w:hAnsi="仿宋" w:eastAsia="仿宋"/>
          <w:szCs w:val="32"/>
        </w:rPr>
        <w:t>12.工程业绩证明材料中必须要有申报人的名字，并提供有效佐证材料，以证明申报人在相关工程中所担任的职务、发挥的作用（参与），如：省四库一平台截图、施工许可证、质量保证体系备案记录表、五方责任主体竣工验收表等。仅提供本单位证明的不属于有效佐证材料。</w:t>
      </w:r>
    </w:p>
    <w:p>
      <w:pPr>
        <w:ind w:firstLine="632" w:firstLineChars="200"/>
        <w:rPr>
          <w:rFonts w:hint="eastAsia" w:ascii="仿宋" w:hAnsi="仿宋" w:eastAsia="仿宋"/>
          <w:szCs w:val="32"/>
        </w:rPr>
      </w:pPr>
      <w:r>
        <w:rPr>
          <w:rFonts w:hint="eastAsia" w:ascii="仿宋" w:hAnsi="仿宋" w:eastAsia="仿宋"/>
          <w:szCs w:val="32"/>
        </w:rPr>
        <w:t>13.专业工作年限：是指从事工程技术工作的年限，须填写实足年限。</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黑体" w:hAnsi="黑体" w:eastAsia="黑体"/>
        </w:rPr>
      </w:pPr>
      <w:r>
        <w:rPr>
          <w:rFonts w:hint="eastAsia" w:ascii="黑体" w:hAnsi="黑体" w:eastAsia="黑体"/>
        </w:rPr>
        <w:t>附件3：</w:t>
      </w:r>
    </w:p>
    <w:p>
      <w:pPr>
        <w:rPr>
          <w:rFonts w:hint="eastAsia" w:ascii="仿宋" w:hAnsi="仿宋" w:eastAsia="仿宋"/>
        </w:rPr>
      </w:pPr>
    </w:p>
    <w:p>
      <w:pPr>
        <w:jc w:val="center"/>
        <w:rPr>
          <w:rFonts w:hint="eastAsia" w:ascii="宋体" w:hAnsi="宋体" w:eastAsia="宋体"/>
          <w:sz w:val="44"/>
          <w:szCs w:val="44"/>
        </w:rPr>
      </w:pPr>
      <w:r>
        <w:rPr>
          <w:rFonts w:hint="eastAsia" w:ascii="宋体" w:hAnsi="宋体" w:eastAsia="宋体"/>
          <w:sz w:val="44"/>
          <w:szCs w:val="44"/>
        </w:rPr>
        <w:t>管理部门网上审核操作办法</w:t>
      </w:r>
    </w:p>
    <w:p>
      <w:pPr>
        <w:rPr>
          <w:rFonts w:hint="eastAsia" w:ascii="仿宋" w:hAnsi="仿宋" w:eastAsia="仿宋"/>
        </w:rPr>
      </w:pPr>
    </w:p>
    <w:p>
      <w:pPr>
        <w:ind w:firstLine="632" w:firstLineChars="200"/>
        <w:rPr>
          <w:rFonts w:ascii="仿宋" w:hAnsi="仿宋" w:eastAsia="仿宋"/>
        </w:rPr>
      </w:pPr>
      <w:r>
        <w:rPr>
          <w:rFonts w:hint="eastAsia" w:ascii="仿宋" w:hAnsi="仿宋" w:eastAsia="仿宋"/>
        </w:rPr>
        <w:t>用人单位自行注册账号，有关主管部门和人力社保部门需按照统一分配的账号，登录浙江省专业技术职务任职资格申报与评审管理服务平台，对申报人员的信息进行审核和报送。具体操作办法如下：</w:t>
      </w:r>
    </w:p>
    <w:p>
      <w:pPr>
        <w:ind w:firstLine="632" w:firstLineChars="200"/>
        <w:rPr>
          <w:rFonts w:hint="eastAsia" w:ascii="黑体" w:hAnsi="黑体" w:eastAsia="黑体"/>
        </w:rPr>
      </w:pPr>
      <w:r>
        <w:rPr>
          <w:rFonts w:hint="eastAsia" w:ascii="黑体" w:hAnsi="黑体" w:eastAsia="黑体"/>
        </w:rPr>
        <w:t>一、用人单位网上审核操作办法（具体操作详见平台首页的《用人单位操作手册》）</w:t>
      </w:r>
    </w:p>
    <w:p>
      <w:pPr>
        <w:ind w:firstLine="632" w:firstLineChars="200"/>
        <w:rPr>
          <w:rFonts w:hint="eastAsia" w:ascii="仿宋" w:hAnsi="仿宋" w:eastAsia="仿宋"/>
        </w:rPr>
      </w:pPr>
      <w:r>
        <w:rPr>
          <w:rFonts w:hint="eastAsia" w:ascii="仿宋" w:hAnsi="仿宋" w:eastAsia="仿宋"/>
        </w:rPr>
        <w:t>1.登录系统。注册并登录浙江省专业技术职务任职资格申报与评审管理服务平台(https://zcps.rlsbt.zj.gov.cn)，系统会显示需要审核的业绩档案信息和职称申报申请。</w:t>
      </w:r>
    </w:p>
    <w:p>
      <w:pPr>
        <w:ind w:firstLine="632" w:firstLineChars="200"/>
        <w:rPr>
          <w:rFonts w:hint="eastAsia" w:ascii="仿宋" w:hAnsi="仿宋" w:eastAsia="仿宋"/>
        </w:rPr>
      </w:pPr>
      <w:r>
        <w:rPr>
          <w:rFonts w:hint="eastAsia" w:ascii="仿宋" w:hAnsi="仿宋" w:eastAsia="仿宋"/>
        </w:rPr>
        <w:t>注：如首次登录，需先提交授权委托证明，系统审核通过后，单位经办人员会收到12333短信提示。</w:t>
      </w:r>
    </w:p>
    <w:p>
      <w:pPr>
        <w:ind w:firstLine="632" w:firstLineChars="200"/>
        <w:rPr>
          <w:rFonts w:hint="eastAsia" w:ascii="仿宋" w:hAnsi="仿宋" w:eastAsia="仿宋"/>
        </w:rPr>
      </w:pPr>
      <w:r>
        <w:rPr>
          <w:rFonts w:hint="eastAsia" w:ascii="仿宋" w:hAnsi="仿宋" w:eastAsia="仿宋"/>
        </w:rPr>
        <w:t>2.业绩档案审核。点击“业绩档案审核/具体姓名”，查看该专业技术人员的业绩详情并审核。</w:t>
      </w:r>
    </w:p>
    <w:p>
      <w:pPr>
        <w:ind w:firstLine="632" w:firstLineChars="200"/>
        <w:rPr>
          <w:rFonts w:hint="eastAsia" w:ascii="仿宋" w:hAnsi="仿宋" w:eastAsia="仿宋"/>
        </w:rPr>
      </w:pPr>
      <w:r>
        <w:rPr>
          <w:rFonts w:hint="eastAsia" w:ascii="仿宋" w:hAnsi="仿宋" w:eastAsia="仿宋"/>
        </w:rPr>
        <w:t>注：申报人员的业绩档案未经所在单位审查通过前，无法进行职称申报。</w:t>
      </w:r>
    </w:p>
    <w:p>
      <w:pPr>
        <w:ind w:firstLine="632" w:firstLineChars="200"/>
        <w:rPr>
          <w:rFonts w:hint="eastAsia" w:ascii="仿宋" w:hAnsi="仿宋" w:eastAsia="仿宋"/>
        </w:rPr>
      </w:pPr>
      <w:r>
        <w:rPr>
          <w:rFonts w:hint="eastAsia" w:ascii="仿宋" w:hAnsi="仿宋" w:eastAsia="仿宋"/>
        </w:rPr>
        <w:t>3.申报资格审核。点击“职称申报资格审查/具体姓名”，查看该申报人员详细申报信息，不具备申报资格的，点击“不通过”并说明理由；资料提供不完整或有误的，点击“退回”并说明理由；符合申报条件的，点击“通过”按钮，并填写审核通过意见。</w:t>
      </w:r>
    </w:p>
    <w:p>
      <w:pPr>
        <w:ind w:firstLine="632" w:firstLineChars="200"/>
        <w:rPr>
          <w:rFonts w:hint="eastAsia" w:ascii="仿宋" w:hAnsi="仿宋" w:eastAsia="仿宋"/>
        </w:rPr>
      </w:pPr>
      <w:r>
        <w:rPr>
          <w:rFonts w:hint="eastAsia" w:ascii="仿宋" w:hAnsi="仿宋" w:eastAsia="仿宋"/>
        </w:rPr>
        <w:t>4.资格公示并报送。确定所有申报人员审查通过后，导出公示表，将申报人员的基本情况和业绩材料以适当方式进行不少于5个工作日的公示，确认无意见后，报送所在地主管部门审查。</w:t>
      </w:r>
    </w:p>
    <w:p>
      <w:pPr>
        <w:ind w:firstLine="632" w:firstLineChars="200"/>
        <w:rPr>
          <w:rFonts w:hint="eastAsia" w:ascii="黑体" w:hAnsi="黑体" w:eastAsia="黑体"/>
        </w:rPr>
      </w:pPr>
      <w:r>
        <w:rPr>
          <w:rFonts w:hint="eastAsia" w:ascii="黑体" w:hAnsi="黑体" w:eastAsia="黑体"/>
        </w:rPr>
        <w:t>二、地市各级主管部门网上审核操作办法</w:t>
      </w:r>
    </w:p>
    <w:p>
      <w:pPr>
        <w:wordWrap w:val="0"/>
        <w:ind w:firstLine="632" w:firstLineChars="200"/>
        <w:rPr>
          <w:rFonts w:hint="eastAsia" w:ascii="仿宋" w:hAnsi="仿宋" w:eastAsia="仿宋"/>
        </w:rPr>
      </w:pPr>
      <w:r>
        <w:rPr>
          <w:rFonts w:hint="eastAsia" w:ascii="仿宋" w:hAnsi="仿宋" w:eastAsia="仿宋"/>
        </w:rPr>
        <w:t>地市各级主管部门需登录管理服务平台（网址：https://zcps.rlsbt.zj.gov.cn/028/login.jsp），完成相关资格审查工作。</w:t>
      </w:r>
    </w:p>
    <w:p>
      <w:pPr>
        <w:ind w:firstLine="632" w:firstLineChars="200"/>
        <w:rPr>
          <w:rFonts w:hint="eastAsia" w:ascii="仿宋" w:hAnsi="仿宋" w:eastAsia="仿宋"/>
        </w:rPr>
      </w:pPr>
      <w:r>
        <w:rPr>
          <w:rFonts w:hint="eastAsia" w:ascii="仿宋" w:hAnsi="仿宋" w:eastAsia="仿宋"/>
        </w:rPr>
        <w:t>1.申报人员所在地主管部门登录申报系统，点击“申报业务管理/职称评审资格审查”，对申报人员的材料进行审查。</w:t>
      </w:r>
    </w:p>
    <w:p>
      <w:pPr>
        <w:ind w:firstLine="632" w:firstLineChars="200"/>
        <w:rPr>
          <w:rFonts w:hint="eastAsia" w:ascii="仿宋" w:hAnsi="仿宋" w:eastAsia="仿宋"/>
        </w:rPr>
      </w:pPr>
      <w:r>
        <w:rPr>
          <w:rFonts w:hint="eastAsia" w:ascii="仿宋" w:hAnsi="仿宋" w:eastAsia="仿宋"/>
        </w:rPr>
        <w:t>点击“待审查”，对用人单位推荐的申报人员进行资格审查：对不具备申报资格的人员，点击“审查不通过”并说明理由；对资料不完整、有误的人员，点击“退回修改”并说明需完善的内容；对符合申报条件的人员，点击“审查通过”并签署审查意见，提交当地人力社保部门审查。</w:t>
      </w:r>
    </w:p>
    <w:p>
      <w:pPr>
        <w:ind w:firstLine="632" w:firstLineChars="200"/>
        <w:rPr>
          <w:rFonts w:hint="eastAsia" w:ascii="仿宋" w:hAnsi="仿宋" w:eastAsia="仿宋"/>
        </w:rPr>
      </w:pPr>
      <w:r>
        <w:rPr>
          <w:rFonts w:hint="eastAsia" w:ascii="仿宋" w:hAnsi="仿宋" w:eastAsia="仿宋"/>
        </w:rPr>
        <w:t>2.当地人力社保部门按照上述操作步骤进行审核推荐，并提交上一级主管部门审查</w:t>
      </w:r>
    </w:p>
    <w:p>
      <w:pPr>
        <w:ind w:firstLine="632" w:firstLineChars="200"/>
        <w:rPr>
          <w:rFonts w:hint="eastAsia" w:ascii="仿宋" w:hAnsi="仿宋" w:eastAsia="仿宋"/>
        </w:rPr>
      </w:pPr>
      <w:r>
        <w:rPr>
          <w:rFonts w:hint="eastAsia" w:ascii="仿宋" w:hAnsi="仿宋" w:eastAsia="仿宋"/>
        </w:rPr>
        <w:t>3.无主管部门的股份制企业、民营企业中人事档案关系委托人才交流中心代理的，应通过人才交流中心申报，人事档案关系未委托人才交流中心代理的，按属地管理原则直接向当地主管部门申报。</w:t>
      </w:r>
    </w:p>
    <w:p>
      <w:pPr>
        <w:ind w:firstLine="632" w:firstLineChars="200"/>
        <w:rPr>
          <w:rFonts w:hint="eastAsia" w:ascii="黑体" w:hAnsi="黑体" w:eastAsia="黑体"/>
        </w:rPr>
      </w:pPr>
      <w:r>
        <w:rPr>
          <w:rFonts w:hint="eastAsia" w:ascii="黑体" w:hAnsi="黑体" w:eastAsia="黑体"/>
        </w:rPr>
        <w:t>三、审核注意事项</w:t>
      </w:r>
    </w:p>
    <w:p>
      <w:pPr>
        <w:ind w:firstLine="632" w:firstLineChars="200"/>
        <w:rPr>
          <w:rFonts w:hint="eastAsia" w:ascii="仿宋" w:hAnsi="仿宋" w:eastAsia="仿宋"/>
        </w:rPr>
      </w:pPr>
      <w:r>
        <w:rPr>
          <w:rFonts w:hint="eastAsia" w:ascii="仿宋" w:hAnsi="仿宋" w:eastAsia="仿宋"/>
        </w:rPr>
        <w:t>1.用人单位本着对申报人员负责、对单位负责的态度，认真及时对本单位申报人员的基础信息、相关业绩档案的真实性和准确性进行审核。因申报材料不符合要求等产生的不利影响由个人和推荐单位负责。</w:t>
      </w:r>
    </w:p>
    <w:p>
      <w:pPr>
        <w:ind w:firstLine="632" w:firstLineChars="200"/>
        <w:rPr>
          <w:rFonts w:hint="eastAsia" w:ascii="仿宋" w:hAnsi="仿宋" w:eastAsia="仿宋"/>
        </w:rPr>
      </w:pPr>
      <w:r>
        <w:rPr>
          <w:rFonts w:hint="eastAsia" w:ascii="仿宋" w:hAnsi="仿宋" w:eastAsia="仿宋"/>
        </w:rPr>
        <w:t>2.各级主管部门应当认真履职，对用人单位推荐的申报材料进行仔细审查。如信用核查、学历、资历、年度考核、继续教育学时、事业编制人员评聘结合等必备资格条件。对不符合要求或模糊不清的电子材料应退回要求重新填报。</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黑体" w:hAnsi="黑体" w:eastAsia="黑体"/>
        </w:rPr>
      </w:pPr>
      <w:r>
        <w:rPr>
          <w:rFonts w:hint="eastAsia" w:ascii="黑体" w:hAnsi="黑体" w:eastAsia="黑体"/>
        </w:rPr>
        <w:t>附件4：</w:t>
      </w:r>
    </w:p>
    <w:p>
      <w:pPr>
        <w:rPr>
          <w:rFonts w:hint="eastAsia" w:ascii="仿宋" w:hAnsi="仿宋" w:eastAsia="仿宋"/>
        </w:rPr>
      </w:pPr>
    </w:p>
    <w:p>
      <w:pPr>
        <w:jc w:val="center"/>
        <w:rPr>
          <w:rFonts w:hint="eastAsia" w:ascii="宋体" w:hAnsi="宋体" w:eastAsia="宋体"/>
          <w:sz w:val="44"/>
          <w:szCs w:val="44"/>
        </w:rPr>
      </w:pPr>
      <w:r>
        <w:rPr>
          <w:rFonts w:hint="eastAsia" w:ascii="宋体" w:hAnsi="宋体" w:eastAsia="宋体"/>
          <w:sz w:val="44"/>
          <w:szCs w:val="44"/>
        </w:rPr>
        <w:t>时间安排</w:t>
      </w:r>
    </w:p>
    <w:p>
      <w:pPr>
        <w:rPr>
          <w:rFonts w:hint="eastAsia" w:ascii="仿宋" w:hAnsi="仿宋" w:eastAsia="仿宋"/>
        </w:rPr>
      </w:pPr>
    </w:p>
    <w:p>
      <w:pPr>
        <w:ind w:firstLine="632" w:firstLineChars="200"/>
        <w:rPr>
          <w:rFonts w:ascii="仿宋" w:hAnsi="仿宋" w:eastAsia="仿宋"/>
        </w:rPr>
      </w:pPr>
      <w:r>
        <w:rPr>
          <w:rFonts w:hint="eastAsia" w:ascii="仿宋" w:hAnsi="仿宋" w:eastAsia="仿宋"/>
        </w:rPr>
        <w:t>为提高工作效率，确保评审工作任务按时完成，现将今年各单位网上申报和纸质材料报送的具体时间明确如下，请有关单位提前部署，提早安排，务必在以下时间内完成材料报送工作。</w:t>
      </w:r>
    </w:p>
    <w:p>
      <w:pPr>
        <w:ind w:firstLine="632" w:firstLineChars="200"/>
        <w:rPr>
          <w:rFonts w:hint="eastAsia" w:ascii="黑体" w:hAnsi="黑体" w:eastAsia="黑体"/>
        </w:rPr>
      </w:pPr>
      <w:r>
        <w:rPr>
          <w:rFonts w:hint="eastAsia" w:ascii="黑体" w:hAnsi="黑体" w:eastAsia="黑体"/>
        </w:rPr>
        <w:t>一、申报时间</w:t>
      </w:r>
    </w:p>
    <w:p>
      <w:pPr>
        <w:ind w:firstLine="632" w:firstLineChars="200"/>
        <w:rPr>
          <w:rFonts w:hint="eastAsia" w:ascii="仿宋" w:hAnsi="仿宋" w:eastAsia="仿宋"/>
        </w:rPr>
      </w:pPr>
      <w:r>
        <w:rPr>
          <w:rFonts w:hint="eastAsia" w:ascii="仿宋" w:hAnsi="仿宋" w:eastAsia="仿宋"/>
        </w:rPr>
        <w:t>网上个人申报时间为2021年7月15日—7月29日，所在单位审核报送截止时间至8月10日。</w:t>
      </w:r>
    </w:p>
    <w:p>
      <w:pPr>
        <w:ind w:firstLine="632" w:firstLineChars="200"/>
        <w:rPr>
          <w:rFonts w:hint="eastAsia" w:ascii="黑体" w:hAnsi="黑体" w:eastAsia="黑体"/>
        </w:rPr>
      </w:pPr>
      <w:r>
        <w:rPr>
          <w:rFonts w:hint="eastAsia" w:ascii="黑体" w:hAnsi="黑体" w:eastAsia="黑体"/>
        </w:rPr>
        <w:t>二、审核时间</w:t>
      </w:r>
    </w:p>
    <w:p>
      <w:pPr>
        <w:ind w:firstLine="632" w:firstLineChars="200"/>
        <w:rPr>
          <w:rFonts w:hint="eastAsia" w:ascii="仿宋" w:hAnsi="仿宋" w:eastAsia="仿宋"/>
        </w:rPr>
      </w:pPr>
      <w:r>
        <w:rPr>
          <w:rFonts w:hint="eastAsia" w:ascii="仿宋" w:hAnsi="仿宋" w:eastAsia="仿宋"/>
        </w:rPr>
        <w:t>各区、县（市）受理点（含各地区人社部门审核时间）网上审核推荐截止时间为9月12日。</w:t>
      </w:r>
    </w:p>
    <w:p>
      <w:pPr>
        <w:ind w:firstLine="632" w:firstLineChars="200"/>
        <w:rPr>
          <w:rFonts w:hint="eastAsia" w:ascii="黑体" w:hAnsi="黑体" w:eastAsia="黑体"/>
        </w:rPr>
      </w:pPr>
      <w:r>
        <w:rPr>
          <w:rFonts w:hint="eastAsia" w:ascii="黑体" w:hAnsi="黑体" w:eastAsia="黑体"/>
        </w:rPr>
        <w:t>三、申报人评审表报送时间</w:t>
      </w:r>
    </w:p>
    <w:p>
      <w:pPr>
        <w:ind w:firstLine="632" w:firstLineChars="200"/>
        <w:rPr>
          <w:rFonts w:hint="eastAsia" w:ascii="仿宋" w:hAnsi="仿宋" w:eastAsia="仿宋"/>
        </w:rPr>
      </w:pPr>
      <w:r>
        <w:rPr>
          <w:rFonts w:hint="eastAsia" w:ascii="仿宋" w:hAnsi="仿宋" w:eastAsia="仿宋"/>
        </w:rPr>
        <w:t>申报人应在10月11日至10月15日期间将《评审表》报至所属区、县（市）受理点。</w:t>
      </w:r>
    </w:p>
    <w:p>
      <w:pPr>
        <w:ind w:firstLine="632" w:firstLineChars="200"/>
        <w:rPr>
          <w:rFonts w:hint="eastAsia" w:ascii="黑体" w:hAnsi="黑体" w:eastAsia="黑体"/>
        </w:rPr>
      </w:pPr>
      <w:r>
        <w:rPr>
          <w:rFonts w:hint="eastAsia" w:ascii="黑体" w:hAnsi="黑体" w:eastAsia="黑体"/>
        </w:rPr>
        <w:t>四、受理点纸质材料报送具体时间</w:t>
      </w:r>
    </w:p>
    <w:p>
      <w:pPr>
        <w:ind w:firstLine="632" w:firstLineChars="200"/>
        <w:rPr>
          <w:rFonts w:hint="eastAsia" w:ascii="仿宋" w:hAnsi="仿宋" w:eastAsia="仿宋"/>
        </w:rPr>
      </w:pPr>
      <w:r>
        <w:rPr>
          <w:rFonts w:hint="eastAsia" w:ascii="仿宋" w:hAnsi="仿宋" w:eastAsia="仿宋"/>
        </w:rPr>
        <w:t>各区、县（市）受理点的《评审表》报送时间为10月18日至10月24日。报送时须提供从系统导出并盖章的花名册一份，《评审表》排序应与花名册一致。</w:t>
      </w:r>
    </w:p>
    <w:p>
      <w:pPr>
        <w:ind w:firstLine="632" w:firstLineChars="200"/>
        <w:rPr>
          <w:rFonts w:hint="eastAsia" w:ascii="仿宋" w:hAnsi="仿宋" w:eastAsia="仿宋"/>
        </w:rPr>
      </w:pPr>
      <w:r>
        <w:rPr>
          <w:rFonts w:hint="eastAsia" w:ascii="仿宋" w:hAnsi="仿宋" w:eastAsia="仿宋"/>
        </w:rPr>
        <w:t>地址：中河中路275号1楼（联系电话：87011350）。</w:t>
      </w:r>
    </w:p>
    <w:p>
      <w:pPr>
        <w:rPr>
          <w:rFonts w:hint="eastAsia" w:ascii="仿宋" w:hAnsi="仿宋" w:eastAsia="仿宋"/>
        </w:rPr>
      </w:pPr>
    </w:p>
    <w:p>
      <w:pPr>
        <w:rPr>
          <w:rFonts w:hint="eastAsia" w:ascii="黑体" w:hAnsi="黑体" w:eastAsia="黑体"/>
        </w:rPr>
      </w:pPr>
      <w:r>
        <w:rPr>
          <w:rFonts w:hint="eastAsia" w:ascii="黑体" w:hAnsi="黑体" w:eastAsia="黑体"/>
        </w:rPr>
        <w:t>附件5：</w:t>
      </w:r>
    </w:p>
    <w:p>
      <w:pPr>
        <w:rPr>
          <w:rFonts w:hint="eastAsia" w:ascii="仿宋" w:hAnsi="仿宋" w:eastAsia="仿宋"/>
        </w:rPr>
      </w:pPr>
    </w:p>
    <w:p>
      <w:pPr>
        <w:jc w:val="center"/>
        <w:rPr>
          <w:rFonts w:hint="eastAsia" w:ascii="宋体" w:hAnsi="宋体" w:eastAsia="宋体"/>
          <w:sz w:val="44"/>
          <w:szCs w:val="44"/>
        </w:rPr>
      </w:pPr>
      <w:r>
        <w:rPr>
          <w:rFonts w:hint="eastAsia" w:ascii="宋体" w:hAnsi="宋体" w:eastAsia="宋体"/>
          <w:sz w:val="44"/>
          <w:szCs w:val="44"/>
        </w:rPr>
        <w:t>各区、县（市）受理点，评委会办公室</w:t>
      </w:r>
    </w:p>
    <w:p>
      <w:pPr>
        <w:jc w:val="center"/>
        <w:rPr>
          <w:rFonts w:hint="eastAsia" w:ascii="宋体" w:hAnsi="宋体" w:eastAsia="宋体"/>
          <w:sz w:val="44"/>
          <w:szCs w:val="44"/>
        </w:rPr>
      </w:pPr>
      <w:r>
        <w:rPr>
          <w:rFonts w:hint="eastAsia" w:ascii="宋体" w:hAnsi="宋体" w:eastAsia="宋体"/>
          <w:sz w:val="44"/>
          <w:szCs w:val="44"/>
        </w:rPr>
        <w:t>咨询电话和纸质材料受理点地址</w:t>
      </w:r>
    </w:p>
    <w:p>
      <w:pPr>
        <w:rPr>
          <w:rFonts w:hint="eastAsia" w:ascii="仿宋" w:hAnsi="仿宋" w:eastAsia="仿宋"/>
        </w:rPr>
      </w:pPr>
    </w:p>
    <w:tbl>
      <w:tblPr>
        <w:tblStyle w:val="5"/>
        <w:tblW w:w="8712" w:type="dxa"/>
        <w:jc w:val="center"/>
        <w:tblLayout w:type="fixed"/>
        <w:tblCellMar>
          <w:top w:w="0" w:type="dxa"/>
          <w:left w:w="108" w:type="dxa"/>
          <w:bottom w:w="0" w:type="dxa"/>
          <w:right w:w="108" w:type="dxa"/>
        </w:tblCellMar>
      </w:tblPr>
      <w:tblGrid>
        <w:gridCol w:w="868"/>
        <w:gridCol w:w="2844"/>
        <w:gridCol w:w="1422"/>
        <w:gridCol w:w="3578"/>
      </w:tblGrid>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
                <w:bCs/>
                <w:kern w:val="0"/>
                <w:sz w:val="24"/>
              </w:rPr>
            </w:pPr>
            <w:r>
              <w:rPr>
                <w:rFonts w:hint="eastAsia" w:ascii="仿宋" w:hAnsi="仿宋" w:eastAsia="仿宋" w:cs="仿宋_GB2312"/>
                <w:b/>
                <w:bCs/>
                <w:kern w:val="0"/>
                <w:sz w:val="24"/>
              </w:rPr>
              <w:t>序号</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
                <w:bCs/>
                <w:kern w:val="0"/>
                <w:sz w:val="24"/>
              </w:rPr>
            </w:pPr>
            <w:r>
              <w:rPr>
                <w:rFonts w:hint="eastAsia" w:ascii="仿宋" w:hAnsi="仿宋" w:eastAsia="仿宋" w:cs="仿宋_GB2312"/>
                <w:b/>
                <w:bCs/>
                <w:kern w:val="0"/>
                <w:sz w:val="24"/>
              </w:rPr>
              <w:t>单位</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
                <w:bCs/>
                <w:kern w:val="0"/>
                <w:sz w:val="24"/>
              </w:rPr>
            </w:pPr>
            <w:r>
              <w:rPr>
                <w:rFonts w:hint="eastAsia" w:ascii="仿宋" w:hAnsi="仿宋" w:eastAsia="仿宋" w:cs="仿宋_GB2312"/>
                <w:b/>
                <w:bCs/>
                <w:kern w:val="0"/>
                <w:sz w:val="24"/>
              </w:rPr>
              <w:t>电话</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
                <w:bCs/>
                <w:kern w:val="0"/>
                <w:sz w:val="24"/>
              </w:rPr>
            </w:pPr>
            <w:r>
              <w:rPr>
                <w:rFonts w:hint="eastAsia" w:ascii="仿宋" w:hAnsi="仿宋" w:eastAsia="仿宋" w:cs="仿宋_GB2312"/>
                <w:b/>
                <w:bCs/>
                <w:kern w:val="0"/>
                <w:sz w:val="24"/>
              </w:rPr>
              <w:t>地址</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1</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上城区住房和城市建设局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86781928</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上城区凯旋路159号凯旋公园内</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2</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拱墅区住房和城市建设局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85377520</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拱墅区北城街55号807</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3</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西湖区住房和城乡建设局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87988290、87988279</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西湖区之江路118号A座416室</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4</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余杭区住房和城乡建设局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89391903</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余杭区五常街道西坝路51号浙财科创中心C座603室</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5</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萧山区住房和城乡建设局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82626269</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萧山区城厢街道文化路87号</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6</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临平区住房和城乡建设局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86243467</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临平区南苑街道人民大道650号建设大厦601</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7</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滨江区住房和城市建设局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87795793</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滨江区江南大道87号401办公室</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8</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钱塘区住房和城乡建设局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82138298</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杭州钱塘区义蓬街道义府大街778号农商银行6楼</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9</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富阳区住房和城乡建设局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63376599、63335731</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富阳区天河路108号</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10</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临安区住房和城乡建设局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63811370</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临安区科技大道4398号市民中心3号楼527</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11</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淳安县住房和城乡建设局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65023289</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千岛湖镇环湖北路655号</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12</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桐庐县住房和城乡建设局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64217810</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桐庐县城迎春南路333号</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13</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建德市住房和城乡建设局</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64719799</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bCs/>
                <w:kern w:val="0"/>
                <w:sz w:val="24"/>
              </w:rPr>
            </w:pPr>
            <w:r>
              <w:rPr>
                <w:rFonts w:hint="eastAsia" w:ascii="仿宋" w:hAnsi="仿宋" w:eastAsia="仿宋" w:cs="仿宋_GB2312"/>
                <w:sz w:val="24"/>
              </w:rPr>
              <w:t>建德市新安路188号建设大厦10楼建筑业管理科</w:t>
            </w:r>
          </w:p>
        </w:tc>
      </w:tr>
      <w:tr>
        <w:tblPrEx>
          <w:tblCellMar>
            <w:top w:w="0" w:type="dxa"/>
            <w:left w:w="108" w:type="dxa"/>
            <w:bottom w:w="0" w:type="dxa"/>
            <w:right w:w="108" w:type="dxa"/>
          </w:tblCellMar>
        </w:tblPrEx>
        <w:trPr>
          <w:cantSplit/>
          <w:trHeight w:val="454" w:hRule="atLeast"/>
          <w:jc w:val="center"/>
        </w:trPr>
        <w:tc>
          <w:tcPr>
            <w:tcW w:w="868" w:type="dxa"/>
            <w:tcBorders>
              <w:top w:val="single" w:color="000000" w:sz="4" w:space="0"/>
              <w:left w:val="single" w:color="000000" w:sz="4" w:space="0"/>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14</w:t>
            </w:r>
          </w:p>
        </w:tc>
        <w:tc>
          <w:tcPr>
            <w:tcW w:w="2844"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中评委办公室</w:t>
            </w:r>
          </w:p>
        </w:tc>
        <w:tc>
          <w:tcPr>
            <w:tcW w:w="1422"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widowControl/>
              <w:spacing w:line="320" w:lineRule="exact"/>
              <w:jc w:val="center"/>
              <w:rPr>
                <w:rFonts w:ascii="仿宋" w:hAnsi="仿宋" w:eastAsia="仿宋" w:cs="仿宋_GB2312"/>
                <w:bCs/>
                <w:kern w:val="0"/>
                <w:sz w:val="24"/>
              </w:rPr>
            </w:pPr>
            <w:r>
              <w:rPr>
                <w:rFonts w:hint="eastAsia" w:ascii="仿宋" w:hAnsi="仿宋" w:eastAsia="仿宋" w:cs="仿宋_GB2312"/>
                <w:bCs/>
                <w:kern w:val="0"/>
                <w:sz w:val="24"/>
              </w:rPr>
              <w:t>87021126</w:t>
            </w:r>
          </w:p>
        </w:tc>
        <w:tc>
          <w:tcPr>
            <w:tcW w:w="3578" w:type="dxa"/>
            <w:tcBorders>
              <w:top w:val="single" w:color="000000" w:sz="4" w:space="0"/>
              <w:left w:val="nil"/>
              <w:bottom w:val="single" w:color="000000" w:sz="4" w:space="0"/>
              <w:right w:val="single" w:color="000000" w:sz="4" w:space="0"/>
            </w:tcBorders>
            <w:noWrap/>
            <w:tcMar>
              <w:top w:w="15" w:type="dxa"/>
              <w:left w:w="15" w:type="dxa"/>
              <w:bottom w:w="15" w:type="dxa"/>
              <w:right w:w="15" w:type="dxa"/>
            </w:tcMar>
            <w:vAlign w:val="center"/>
          </w:tcPr>
          <w:p>
            <w:pPr>
              <w:spacing w:line="320" w:lineRule="exact"/>
              <w:jc w:val="center"/>
              <w:rPr>
                <w:rFonts w:ascii="仿宋" w:hAnsi="仿宋" w:eastAsia="仿宋" w:cs="仿宋_GB2312"/>
                <w:sz w:val="24"/>
              </w:rPr>
            </w:pPr>
            <w:r>
              <w:rPr>
                <w:rFonts w:hint="eastAsia" w:ascii="仿宋" w:hAnsi="仿宋" w:eastAsia="仿宋" w:cs="仿宋_GB2312"/>
                <w:sz w:val="24"/>
              </w:rPr>
              <w:t>中河中路275号1楼(仅接收各区、县（市）受理点，市直单位汇总的材料)</w:t>
            </w:r>
          </w:p>
        </w:tc>
      </w:tr>
    </w:tbl>
    <w:p>
      <w:pPr>
        <w:rPr>
          <w:rFonts w:hint="eastAsia" w:ascii="仿宋" w:hAnsi="仿宋" w:eastAsia="仿宋"/>
        </w:rPr>
      </w:pPr>
      <w:r>
        <w:rPr>
          <w:rFonts w:hint="eastAsia" w:ascii="仿宋" w:hAnsi="仿宋" w:eastAsia="仿宋" w:cs="仿宋_GB2312"/>
          <w:bCs/>
          <w:kern w:val="0"/>
          <w:sz w:val="24"/>
        </w:rPr>
        <w:t>备注：余杭区中评委还未成立，今年统一报至临平区。</w:t>
      </w:r>
    </w:p>
    <w:p>
      <w:pPr>
        <w:rPr>
          <w:rFonts w:hint="eastAsia" w:ascii="黑体" w:hAnsi="黑体" w:eastAsia="黑体"/>
        </w:rPr>
      </w:pPr>
      <w:r>
        <w:rPr>
          <w:rFonts w:hint="eastAsia" w:ascii="黑体" w:hAnsi="黑体" w:eastAsia="黑体"/>
        </w:rPr>
        <w:t>附件6：</w:t>
      </w:r>
    </w:p>
    <w:p>
      <w:pPr>
        <w:rPr>
          <w:rFonts w:hint="eastAsia" w:ascii="仿宋" w:hAnsi="仿宋" w:eastAsia="仿宋"/>
        </w:rPr>
      </w:pPr>
    </w:p>
    <w:p>
      <w:pPr>
        <w:jc w:val="center"/>
        <w:rPr>
          <w:rFonts w:hint="eastAsia" w:ascii="宋体" w:hAnsi="宋体" w:eastAsia="宋体"/>
          <w:sz w:val="44"/>
          <w:szCs w:val="44"/>
        </w:rPr>
      </w:pPr>
      <w:r>
        <w:rPr>
          <w:rFonts w:hint="eastAsia" w:ascii="宋体" w:hAnsi="宋体" w:eastAsia="宋体"/>
          <w:sz w:val="44"/>
          <w:szCs w:val="44"/>
        </w:rPr>
        <w:t>事业单位人员职称申报岗位信息表</w:t>
      </w:r>
    </w:p>
    <w:p>
      <w:pPr>
        <w:rPr>
          <w:rFonts w:hint="eastAsia" w:ascii="仿宋" w:hAnsi="仿宋" w:eastAsia="仿宋"/>
        </w:rPr>
      </w:pPr>
    </w:p>
    <w:tbl>
      <w:tblPr>
        <w:tblStyle w:val="5"/>
        <w:tblW w:w="0" w:type="auto"/>
        <w:jc w:val="center"/>
        <w:tblLayout w:type="fixed"/>
        <w:tblCellMar>
          <w:top w:w="0" w:type="dxa"/>
          <w:left w:w="108" w:type="dxa"/>
          <w:bottom w:w="0" w:type="dxa"/>
          <w:right w:w="108" w:type="dxa"/>
        </w:tblCellMar>
      </w:tblPr>
      <w:tblGrid>
        <w:gridCol w:w="1212"/>
        <w:gridCol w:w="777"/>
        <w:gridCol w:w="355"/>
        <w:gridCol w:w="668"/>
        <w:gridCol w:w="1023"/>
        <w:gridCol w:w="641"/>
        <w:gridCol w:w="381"/>
        <w:gridCol w:w="982"/>
        <w:gridCol w:w="205"/>
        <w:gridCol w:w="2688"/>
      </w:tblGrid>
      <w:tr>
        <w:tblPrEx>
          <w:tblCellMar>
            <w:top w:w="0" w:type="dxa"/>
            <w:left w:w="108" w:type="dxa"/>
            <w:bottom w:w="0" w:type="dxa"/>
            <w:right w:w="108" w:type="dxa"/>
          </w:tblCellMar>
        </w:tblPrEx>
        <w:trPr>
          <w:cantSplit/>
          <w:trHeight w:val="454" w:hRule="atLeast"/>
          <w:jc w:val="center"/>
        </w:trPr>
        <w:tc>
          <w:tcPr>
            <w:tcW w:w="1212"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单位专业技术岗位情况</w:t>
            </w:r>
          </w:p>
        </w:tc>
        <w:tc>
          <w:tcPr>
            <w:tcW w:w="1800"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单位名称</w:t>
            </w:r>
          </w:p>
        </w:tc>
        <w:tc>
          <w:tcPr>
            <w:tcW w:w="5920" w:type="dxa"/>
            <w:gridSpan w:val="6"/>
            <w:tcBorders>
              <w:top w:val="single" w:color="auto" w:sz="4" w:space="0"/>
              <w:left w:val="nil"/>
              <w:bottom w:val="single" w:color="auto" w:sz="4" w:space="0"/>
              <w:right w:val="single" w:color="auto" w:sz="4" w:space="0"/>
            </w:tcBorders>
            <w:noWrap/>
            <w:vAlign w:val="center"/>
          </w:tcPr>
          <w:p>
            <w:pPr>
              <w:widowControl/>
              <w:spacing w:line="320" w:lineRule="exact"/>
              <w:jc w:val="left"/>
              <w:rPr>
                <w:rFonts w:ascii="仿宋" w:hAnsi="仿宋" w:eastAsia="仿宋" w:cs="宋体"/>
                <w:kern w:val="0"/>
                <w:sz w:val="24"/>
              </w:rPr>
            </w:pPr>
          </w:p>
        </w:tc>
      </w:tr>
      <w:tr>
        <w:tblPrEx>
          <w:tblCellMar>
            <w:top w:w="0" w:type="dxa"/>
            <w:left w:w="108" w:type="dxa"/>
            <w:bottom w:w="0" w:type="dxa"/>
            <w:right w:w="108" w:type="dxa"/>
          </w:tblCellMar>
        </w:tblPrEx>
        <w:trPr>
          <w:cantSplit/>
          <w:trHeight w:val="454" w:hRule="atLeast"/>
          <w:jc w:val="center"/>
        </w:trPr>
        <w:tc>
          <w:tcPr>
            <w:tcW w:w="121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777" w:type="dxa"/>
            <w:vMerge w:val="restart"/>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岗位情况</w:t>
            </w:r>
          </w:p>
        </w:tc>
        <w:tc>
          <w:tcPr>
            <w:tcW w:w="102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i/>
                <w:iCs/>
                <w:kern w:val="0"/>
                <w:sz w:val="24"/>
              </w:rPr>
            </w:pPr>
            <w:r>
              <w:rPr>
                <w:rFonts w:hint="eastAsia" w:ascii="仿宋" w:hAnsi="仿宋" w:eastAsia="仿宋" w:cs="宋体"/>
                <w:kern w:val="0"/>
                <w:sz w:val="24"/>
              </w:rPr>
              <w:t>等级</w:t>
            </w:r>
          </w:p>
        </w:tc>
        <w:tc>
          <w:tcPr>
            <w:tcW w:w="1023"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正高级</w:t>
            </w:r>
          </w:p>
        </w:tc>
        <w:tc>
          <w:tcPr>
            <w:tcW w:w="102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副高级</w:t>
            </w:r>
          </w:p>
        </w:tc>
        <w:tc>
          <w:tcPr>
            <w:tcW w:w="982"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中级</w:t>
            </w:r>
          </w:p>
        </w:tc>
        <w:tc>
          <w:tcPr>
            <w:tcW w:w="289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备注</w:t>
            </w:r>
          </w:p>
        </w:tc>
      </w:tr>
      <w:tr>
        <w:tblPrEx>
          <w:tblCellMar>
            <w:top w:w="0" w:type="dxa"/>
            <w:left w:w="108" w:type="dxa"/>
            <w:bottom w:w="0" w:type="dxa"/>
            <w:right w:w="108" w:type="dxa"/>
          </w:tblCellMar>
        </w:tblPrEx>
        <w:trPr>
          <w:cantSplit/>
          <w:trHeight w:val="454" w:hRule="atLeast"/>
          <w:jc w:val="center"/>
        </w:trPr>
        <w:tc>
          <w:tcPr>
            <w:tcW w:w="121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777" w:type="dxa"/>
            <w:vMerge w:val="continue"/>
            <w:tcBorders>
              <w:top w:val="nil"/>
              <w:left w:val="nil"/>
              <w:bottom w:val="single" w:color="auto" w:sz="4" w:space="0"/>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02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核准数</w:t>
            </w:r>
          </w:p>
        </w:tc>
        <w:tc>
          <w:tcPr>
            <w:tcW w:w="1023"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102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982"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89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cantSplit/>
          <w:trHeight w:val="454" w:hRule="atLeast"/>
          <w:jc w:val="center"/>
        </w:trPr>
        <w:tc>
          <w:tcPr>
            <w:tcW w:w="121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777" w:type="dxa"/>
            <w:vMerge w:val="continue"/>
            <w:tcBorders>
              <w:top w:val="nil"/>
              <w:left w:val="nil"/>
              <w:bottom w:val="single" w:color="auto" w:sz="4" w:space="0"/>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02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实聘数</w:t>
            </w:r>
          </w:p>
        </w:tc>
        <w:tc>
          <w:tcPr>
            <w:tcW w:w="1023"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102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982"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89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cantSplit/>
          <w:trHeight w:val="454" w:hRule="atLeast"/>
          <w:jc w:val="center"/>
        </w:trPr>
        <w:tc>
          <w:tcPr>
            <w:tcW w:w="121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777" w:type="dxa"/>
            <w:vMerge w:val="continue"/>
            <w:tcBorders>
              <w:top w:val="nil"/>
              <w:left w:val="nil"/>
              <w:bottom w:val="single" w:color="auto" w:sz="4" w:space="0"/>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02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空缺数</w:t>
            </w:r>
          </w:p>
        </w:tc>
        <w:tc>
          <w:tcPr>
            <w:tcW w:w="1023"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102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982" w:type="dxa"/>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893" w:type="dxa"/>
            <w:gridSpan w:val="2"/>
            <w:tcBorders>
              <w:top w:val="nil"/>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trHeight w:val="454" w:hRule="atLeast"/>
          <w:jc w:val="center"/>
        </w:trPr>
        <w:tc>
          <w:tcPr>
            <w:tcW w:w="1212" w:type="dxa"/>
            <w:vMerge w:val="restart"/>
            <w:tcBorders>
              <w:top w:val="nil"/>
              <w:left w:val="single" w:color="auto" w:sz="4" w:space="0"/>
              <w:bottom w:val="nil"/>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单位专业技术岗位竞聘结果</w:t>
            </w:r>
          </w:p>
        </w:tc>
        <w:tc>
          <w:tcPr>
            <w:tcW w:w="7720" w:type="dxa"/>
            <w:gridSpan w:val="9"/>
            <w:tcBorders>
              <w:top w:val="single" w:color="auto" w:sz="4" w:space="0"/>
              <w:left w:val="nil"/>
              <w:bottom w:val="single" w:color="auto" w:sz="4" w:space="0"/>
              <w:right w:val="single" w:color="auto" w:sz="4" w:space="0"/>
            </w:tcBorders>
            <w:noWrap/>
            <w:vAlign w:val="center"/>
          </w:tcPr>
          <w:p>
            <w:pPr>
              <w:widowControl/>
              <w:spacing w:line="320" w:lineRule="exact"/>
              <w:ind w:firstLine="482"/>
              <w:jc w:val="left"/>
              <w:rPr>
                <w:rFonts w:ascii="仿宋" w:hAnsi="仿宋" w:eastAsia="仿宋" w:cs="宋体"/>
                <w:kern w:val="0"/>
                <w:sz w:val="24"/>
              </w:rPr>
            </w:pPr>
            <w:r>
              <w:rPr>
                <w:rFonts w:hint="eastAsia" w:ascii="仿宋" w:hAnsi="仿宋" w:eastAsia="仿宋" w:cs="宋体"/>
                <w:kern w:val="0"/>
                <w:sz w:val="24"/>
              </w:rPr>
              <w:t>今年全年本单位共新推出个空缺中级专业技术岗位用于晋升中级职务任职资格人员（含使用空缺岗位的转评人员）竞聘。经考核竞聘，同意   人参加中级评审，   人申报中级初定，并承诺在取得资格后，按规定及时聘任，聘任后，本单位共使用中级岗位   个。本单位全年推荐中级评审和初定的全部人员名单如下（名单列表可按需同规格添加）：</w:t>
            </w:r>
          </w:p>
        </w:tc>
      </w:tr>
      <w:tr>
        <w:tblPrEx>
          <w:tblCellMar>
            <w:top w:w="0" w:type="dxa"/>
            <w:left w:w="108" w:type="dxa"/>
            <w:bottom w:w="0" w:type="dxa"/>
            <w:right w:w="108" w:type="dxa"/>
          </w:tblCellMar>
        </w:tblPrEx>
        <w:trPr>
          <w:trHeight w:val="454" w:hRule="atLeast"/>
          <w:jc w:val="center"/>
        </w:trPr>
        <w:tc>
          <w:tcPr>
            <w:tcW w:w="1212"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13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姓名</w:t>
            </w:r>
          </w:p>
        </w:tc>
        <w:tc>
          <w:tcPr>
            <w:tcW w:w="2332"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身份证号码</w:t>
            </w:r>
          </w:p>
        </w:tc>
        <w:tc>
          <w:tcPr>
            <w:tcW w:w="1568" w:type="dxa"/>
            <w:gridSpan w:val="3"/>
            <w:tcBorders>
              <w:top w:val="single" w:color="auto" w:sz="4" w:space="0"/>
              <w:left w:val="nil"/>
              <w:bottom w:val="single" w:color="auto" w:sz="4" w:space="0"/>
              <w:right w:val="single" w:color="auto" w:sz="4" w:space="0"/>
            </w:tcBorders>
            <w:noWrap/>
            <w:vAlign w:val="center"/>
          </w:tcPr>
          <w:p>
            <w:pPr>
              <w:widowControl/>
              <w:spacing w:line="320" w:lineRule="exact"/>
              <w:ind w:left="-79" w:leftChars="-25" w:right="-79" w:rightChars="-25"/>
              <w:jc w:val="center"/>
              <w:rPr>
                <w:rFonts w:ascii="仿宋" w:hAnsi="仿宋" w:eastAsia="仿宋" w:cs="宋体"/>
                <w:kern w:val="0"/>
                <w:sz w:val="24"/>
              </w:rPr>
            </w:pPr>
            <w:r>
              <w:rPr>
                <w:rFonts w:hint="eastAsia" w:ascii="仿宋" w:hAnsi="仿宋" w:eastAsia="仿宋" w:cs="宋体"/>
                <w:kern w:val="0"/>
                <w:sz w:val="24"/>
              </w:rPr>
              <w:t>现有专业技术职务任职资格</w:t>
            </w:r>
          </w:p>
        </w:tc>
        <w:tc>
          <w:tcPr>
            <w:tcW w:w="268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拟聘专业技术岗位等级</w:t>
            </w:r>
          </w:p>
        </w:tc>
      </w:tr>
      <w:tr>
        <w:tblPrEx>
          <w:tblCellMar>
            <w:top w:w="0" w:type="dxa"/>
            <w:left w:w="108" w:type="dxa"/>
            <w:bottom w:w="0" w:type="dxa"/>
            <w:right w:w="108" w:type="dxa"/>
          </w:tblCellMar>
        </w:tblPrEx>
        <w:trPr>
          <w:trHeight w:val="454" w:hRule="atLeast"/>
          <w:jc w:val="center"/>
        </w:trPr>
        <w:tc>
          <w:tcPr>
            <w:tcW w:w="1212"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13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332" w:type="dxa"/>
            <w:gridSpan w:val="3"/>
            <w:tcBorders>
              <w:top w:val="single" w:color="auto" w:sz="4" w:space="0"/>
              <w:left w:val="nil"/>
              <w:bottom w:val="single" w:color="auto" w:sz="4" w:space="0"/>
              <w:right w:val="single" w:color="000000" w:sz="4" w:space="0"/>
            </w:tcBorders>
            <w:noWrap/>
            <w:vAlign w:val="center"/>
          </w:tcPr>
          <w:p>
            <w:pPr>
              <w:widowControl/>
              <w:spacing w:line="320" w:lineRule="exact"/>
              <w:jc w:val="center"/>
              <w:rPr>
                <w:rFonts w:ascii="仿宋" w:hAnsi="仿宋" w:eastAsia="仿宋"/>
                <w:kern w:val="0"/>
                <w:sz w:val="24"/>
              </w:rPr>
            </w:pPr>
          </w:p>
        </w:tc>
        <w:tc>
          <w:tcPr>
            <w:tcW w:w="1568" w:type="dxa"/>
            <w:gridSpan w:val="3"/>
            <w:tcBorders>
              <w:top w:val="single" w:color="auto" w:sz="4" w:space="0"/>
              <w:left w:val="nil"/>
              <w:bottom w:val="single" w:color="auto" w:sz="4" w:space="0"/>
              <w:right w:val="single" w:color="000000" w:sz="4" w:space="0"/>
            </w:tcBorders>
            <w:noWrap/>
            <w:vAlign w:val="center"/>
          </w:tcPr>
          <w:p>
            <w:pPr>
              <w:widowControl/>
              <w:spacing w:line="320" w:lineRule="exact"/>
              <w:jc w:val="center"/>
              <w:rPr>
                <w:rFonts w:ascii="仿宋" w:hAnsi="仿宋" w:eastAsia="仿宋"/>
                <w:kern w:val="0"/>
                <w:sz w:val="24"/>
              </w:rPr>
            </w:pPr>
          </w:p>
        </w:tc>
        <w:tc>
          <w:tcPr>
            <w:tcW w:w="2688" w:type="dxa"/>
            <w:tcBorders>
              <w:top w:val="single" w:color="auto" w:sz="4" w:space="0"/>
              <w:left w:val="nil"/>
              <w:bottom w:val="single" w:color="auto" w:sz="4" w:space="0"/>
              <w:right w:val="single" w:color="000000"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trHeight w:val="454" w:hRule="atLeast"/>
          <w:jc w:val="center"/>
        </w:trPr>
        <w:tc>
          <w:tcPr>
            <w:tcW w:w="1212"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13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332"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1568"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68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trHeight w:val="454" w:hRule="atLeast"/>
          <w:jc w:val="center"/>
        </w:trPr>
        <w:tc>
          <w:tcPr>
            <w:tcW w:w="1212"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13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332"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1568"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68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trHeight w:val="454" w:hRule="atLeast"/>
          <w:jc w:val="center"/>
        </w:trPr>
        <w:tc>
          <w:tcPr>
            <w:tcW w:w="1212"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13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332"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1568"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68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trHeight w:val="454" w:hRule="atLeast"/>
          <w:jc w:val="center"/>
        </w:trPr>
        <w:tc>
          <w:tcPr>
            <w:tcW w:w="1212" w:type="dxa"/>
            <w:vMerge w:val="continue"/>
            <w:tcBorders>
              <w:top w:val="nil"/>
              <w:left w:val="single" w:color="auto" w:sz="4" w:space="0"/>
              <w:bottom w:val="nil"/>
              <w:right w:val="single" w:color="auto" w:sz="4" w:space="0"/>
            </w:tcBorders>
            <w:noWrap w:val="0"/>
            <w:vAlign w:val="center"/>
          </w:tcPr>
          <w:p>
            <w:pPr>
              <w:widowControl/>
              <w:spacing w:line="320" w:lineRule="exact"/>
              <w:jc w:val="left"/>
              <w:rPr>
                <w:rFonts w:ascii="仿宋" w:hAnsi="仿宋" w:eastAsia="仿宋" w:cs="宋体"/>
                <w:kern w:val="0"/>
                <w:sz w:val="24"/>
              </w:rPr>
            </w:pPr>
          </w:p>
        </w:tc>
        <w:tc>
          <w:tcPr>
            <w:tcW w:w="1132"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332"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1568" w:type="dxa"/>
            <w:gridSpan w:val="3"/>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c>
          <w:tcPr>
            <w:tcW w:w="268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仿宋" w:hAnsi="仿宋" w:eastAsia="仿宋"/>
                <w:kern w:val="0"/>
                <w:sz w:val="24"/>
              </w:rPr>
            </w:pPr>
          </w:p>
        </w:tc>
      </w:tr>
      <w:tr>
        <w:tblPrEx>
          <w:tblCellMar>
            <w:top w:w="0" w:type="dxa"/>
            <w:left w:w="108" w:type="dxa"/>
            <w:bottom w:w="0" w:type="dxa"/>
            <w:right w:w="108" w:type="dxa"/>
          </w:tblCellMar>
        </w:tblPrEx>
        <w:trPr>
          <w:trHeight w:val="2326" w:hRule="atLeast"/>
          <w:jc w:val="center"/>
        </w:trPr>
        <w:tc>
          <w:tcPr>
            <w:tcW w:w="8932" w:type="dxa"/>
            <w:gridSpan w:val="10"/>
            <w:tcBorders>
              <w:top w:val="single" w:color="auto" w:sz="4" w:space="0"/>
              <w:left w:val="single" w:color="auto" w:sz="4" w:space="0"/>
              <w:bottom w:val="single" w:color="auto" w:sz="4" w:space="0"/>
              <w:right w:val="single" w:color="auto" w:sz="4" w:space="0"/>
            </w:tcBorders>
            <w:noWrap/>
            <w:vAlign w:val="center"/>
          </w:tcPr>
          <w:p>
            <w:pPr>
              <w:spacing w:line="320" w:lineRule="exact"/>
              <w:rPr>
                <w:rFonts w:ascii="仿宋" w:hAnsi="仿宋" w:eastAsia="仿宋" w:cs="宋体"/>
                <w:kern w:val="0"/>
                <w:sz w:val="24"/>
              </w:rPr>
            </w:pPr>
            <w:r>
              <w:rPr>
                <w:rFonts w:hint="eastAsia" w:ascii="仿宋" w:hAnsi="仿宋" w:eastAsia="仿宋" w:cs="宋体"/>
                <w:kern w:val="0"/>
                <w:sz w:val="24"/>
              </w:rPr>
              <w:t>（</w:t>
            </w:r>
            <w:r>
              <w:rPr>
                <w:rFonts w:hint="eastAsia" w:ascii="仿宋" w:hAnsi="仿宋" w:eastAsia="仿宋" w:cs="宋体"/>
                <w:b/>
                <w:bCs/>
                <w:kern w:val="0"/>
                <w:sz w:val="24"/>
              </w:rPr>
              <w:t>注：当使用地区统筹岗位时，还需事业单位岗位统筹管理部门业务处室负责人签署意见并盖章。退三进二，退二进一等情况，也应说明。杭州市主管部门和人力社保部门在印发资格公布文件时，将进行事后监督核查。</w:t>
            </w:r>
            <w:r>
              <w:rPr>
                <w:rFonts w:hint="eastAsia" w:ascii="仿宋" w:hAnsi="仿宋" w:eastAsia="仿宋" w:cs="宋体"/>
                <w:kern w:val="0"/>
                <w:sz w:val="24"/>
              </w:rPr>
              <w:t>）</w:t>
            </w:r>
          </w:p>
          <w:p>
            <w:pPr>
              <w:spacing w:line="320" w:lineRule="exact"/>
              <w:rPr>
                <w:rFonts w:hint="eastAsia" w:ascii="仿宋" w:hAnsi="仿宋" w:eastAsia="仿宋" w:cs="宋体"/>
                <w:kern w:val="0"/>
                <w:sz w:val="24"/>
              </w:rPr>
            </w:pPr>
          </w:p>
          <w:p>
            <w:pPr>
              <w:spacing w:line="320" w:lineRule="exact"/>
              <w:ind w:firstLine="480"/>
              <w:rPr>
                <w:rFonts w:hint="eastAsia" w:ascii="仿宋" w:hAnsi="仿宋" w:eastAsia="仿宋" w:cs="宋体"/>
                <w:kern w:val="0"/>
                <w:sz w:val="24"/>
              </w:rPr>
            </w:pPr>
            <w:r>
              <w:rPr>
                <w:rFonts w:hint="eastAsia" w:ascii="仿宋" w:hAnsi="仿宋" w:eastAsia="仿宋" w:cs="宋体"/>
                <w:kern w:val="0"/>
                <w:sz w:val="24"/>
              </w:rPr>
              <w:t>单位负责岗位设置和竞聘的业务科（处）室负责人签字：</w:t>
            </w:r>
          </w:p>
          <w:p>
            <w:pPr>
              <w:spacing w:line="320" w:lineRule="exact"/>
              <w:rPr>
                <w:rFonts w:hint="eastAsia" w:ascii="仿宋" w:hAnsi="仿宋" w:eastAsia="仿宋" w:cs="宋体"/>
                <w:kern w:val="0"/>
                <w:sz w:val="24"/>
              </w:rPr>
            </w:pPr>
          </w:p>
          <w:p>
            <w:pPr>
              <w:spacing w:line="320" w:lineRule="exact"/>
              <w:ind w:firstLine="4720" w:firstLineChars="2000"/>
              <w:rPr>
                <w:rFonts w:hint="eastAsia" w:ascii="仿宋" w:hAnsi="仿宋" w:eastAsia="仿宋" w:cs="宋体"/>
                <w:kern w:val="0"/>
                <w:sz w:val="24"/>
              </w:rPr>
            </w:pPr>
            <w:r>
              <w:rPr>
                <w:rFonts w:hint="eastAsia" w:ascii="仿宋" w:hAnsi="仿宋" w:eastAsia="仿宋" w:cs="宋体"/>
                <w:kern w:val="0"/>
                <w:sz w:val="24"/>
              </w:rPr>
              <w:t>（盖章，两页以上加盖骑缝章）</w:t>
            </w:r>
          </w:p>
          <w:p>
            <w:pPr>
              <w:spacing w:line="320" w:lineRule="exact"/>
              <w:ind w:firstLine="6136" w:firstLineChars="2600"/>
              <w:rPr>
                <w:rFonts w:ascii="仿宋" w:hAnsi="仿宋" w:eastAsia="仿宋" w:cs="宋体"/>
                <w:kern w:val="0"/>
                <w:sz w:val="24"/>
              </w:rPr>
            </w:pPr>
            <w:r>
              <w:rPr>
                <w:rFonts w:hint="eastAsia" w:ascii="仿宋" w:hAnsi="仿宋" w:eastAsia="仿宋" w:cs="宋体"/>
                <w:kern w:val="0"/>
                <w:sz w:val="24"/>
              </w:rPr>
              <w:t>年    月    日</w:t>
            </w:r>
          </w:p>
        </w:tc>
      </w:tr>
    </w:tbl>
    <w:p>
      <w:pPr>
        <w:spacing w:line="400" w:lineRule="exact"/>
        <w:rPr>
          <w:rFonts w:hint="eastAsia" w:ascii="仿宋" w:hAnsi="仿宋" w:eastAsia="仿宋"/>
          <w:sz w:val="28"/>
          <w:szCs w:val="28"/>
        </w:rPr>
      </w:pPr>
      <w:r>
        <w:rPr>
          <w:rFonts w:hint="eastAsia" w:ascii="仿宋" w:hAnsi="仿宋" w:eastAsia="仿宋"/>
          <w:sz w:val="28"/>
          <w:szCs w:val="28"/>
        </w:rPr>
        <w:t>注：该表格为事业单位推荐在编人员参加中级职称评审时填写。有空缺岗位的，用正数表示。</w:t>
      </w:r>
    </w:p>
    <w:p>
      <w:pPr>
        <w:rPr>
          <w:rFonts w:ascii="黑体" w:hAnsi="黑体" w:eastAsia="黑体"/>
        </w:rPr>
        <w:sectPr>
          <w:headerReference r:id="rId3" w:type="default"/>
          <w:footerReference r:id="rId4" w:type="default"/>
          <w:footerReference r:id="rId5" w:type="even"/>
          <w:pgSz w:w="11907" w:h="16840"/>
          <w:pgMar w:top="2041" w:right="1531" w:bottom="2041" w:left="1531" w:header="851" w:footer="1644" w:gutter="0"/>
          <w:pgNumType w:fmt="numberInDash"/>
          <w:cols w:space="425" w:num="1"/>
          <w:docGrid w:type="linesAndChars" w:linePitch="578" w:charSpace="-842"/>
        </w:sectPr>
      </w:pPr>
    </w:p>
    <w:p>
      <w:pPr>
        <w:rPr>
          <w:rFonts w:hint="eastAsia" w:ascii="黑体" w:hAnsi="黑体" w:eastAsia="黑体"/>
        </w:rPr>
      </w:pPr>
      <w:r>
        <w:rPr>
          <w:rFonts w:hint="eastAsia" w:ascii="黑体" w:hAnsi="黑体" w:eastAsia="黑体"/>
        </w:rPr>
        <w:t>附件7：</w:t>
      </w:r>
    </w:p>
    <w:p>
      <w:pPr>
        <w:rPr>
          <w:rFonts w:hint="eastAsia" w:ascii="仿宋" w:hAnsi="仿宋" w:eastAsia="仿宋"/>
        </w:rPr>
      </w:pPr>
    </w:p>
    <w:p>
      <w:pPr>
        <w:jc w:val="center"/>
        <w:rPr>
          <w:rFonts w:hint="eastAsia" w:ascii="宋体" w:hAnsi="宋体" w:eastAsia="宋体"/>
          <w:sz w:val="44"/>
          <w:szCs w:val="44"/>
        </w:rPr>
      </w:pPr>
      <w:r>
        <w:rPr>
          <w:rFonts w:hint="eastAsia" w:ascii="宋体" w:hAnsi="宋体" w:eastAsia="宋体"/>
          <w:sz w:val="44"/>
          <w:szCs w:val="44"/>
        </w:rPr>
        <w:t>工程复杂程度一览表</w:t>
      </w:r>
    </w:p>
    <w:p>
      <w:pPr>
        <w:rPr>
          <w:rFonts w:hint="eastAsia" w:ascii="仿宋" w:hAnsi="仿宋" w:eastAsia="仿宋"/>
        </w:rPr>
      </w:pPr>
    </w:p>
    <w:p>
      <w:pPr>
        <w:ind w:firstLine="640" w:firstLineChars="200"/>
        <w:rPr>
          <w:rFonts w:hint="eastAsia" w:ascii="黑体" w:hAnsi="黑体" w:eastAsia="黑体"/>
        </w:rPr>
      </w:pPr>
      <w:r>
        <w:rPr>
          <w:rFonts w:hint="eastAsia" w:ascii="黑体" w:hAnsi="黑体" w:eastAsia="黑体"/>
        </w:rPr>
        <w:t>一、</w:t>
      </w:r>
      <w:r>
        <w:rPr>
          <w:rFonts w:hint="eastAsia" w:ascii="黑体" w:hAnsi="黑体" w:eastAsia="黑体" w:cs="仿宋"/>
          <w:bCs/>
          <w:color w:val="000000"/>
          <w:kern w:val="0"/>
          <w:szCs w:val="32"/>
        </w:rPr>
        <w:t>房屋建筑设计、工程施工与管理、监理</w:t>
      </w:r>
    </w:p>
    <w:tbl>
      <w:tblPr>
        <w:tblStyle w:val="5"/>
        <w:tblW w:w="127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39"/>
        <w:gridCol w:w="962"/>
        <w:gridCol w:w="1580"/>
        <w:gridCol w:w="2841"/>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类别</w:t>
            </w: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子项</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复杂工程</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中等复杂工程</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一般工程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公共建筑</w:t>
            </w:r>
          </w:p>
        </w:tc>
        <w:tc>
          <w:tcPr>
            <w:tcW w:w="9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面积</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一般建筑</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&gt;20000m</w:t>
            </w:r>
            <w:r>
              <w:rPr>
                <w:rFonts w:hint="eastAsia" w:ascii="仿宋" w:hAnsi="仿宋" w:eastAsia="仿宋" w:cs="宋体"/>
                <w:kern w:val="0"/>
                <w:sz w:val="24"/>
                <w:vertAlign w:val="superscript"/>
              </w:rPr>
              <w:t>2</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5000-20000m</w:t>
            </w:r>
            <w:r>
              <w:rPr>
                <w:rFonts w:hint="eastAsia" w:ascii="仿宋" w:hAnsi="仿宋" w:eastAsia="仿宋" w:cs="宋体"/>
                <w:kern w:val="0"/>
                <w:sz w:val="24"/>
                <w:vertAlign w:val="superscript"/>
              </w:rPr>
              <w:t>2</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&lt;5000m</w:t>
            </w:r>
            <w:r>
              <w:rPr>
                <w:rFonts w:hint="eastAsia" w:ascii="仿宋" w:hAnsi="仿宋" w:eastAsia="仿宋" w:cs="宋体"/>
                <w:kern w:val="0"/>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p>
        </w:tc>
        <w:tc>
          <w:tcPr>
            <w:tcW w:w="96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特殊建筑</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&gt;5000m</w:t>
            </w:r>
            <w:r>
              <w:rPr>
                <w:rFonts w:hint="eastAsia" w:ascii="仿宋" w:hAnsi="仿宋" w:eastAsia="仿宋" w:cs="宋体"/>
                <w:kern w:val="0"/>
                <w:sz w:val="24"/>
                <w:vertAlign w:val="superscript"/>
              </w:rPr>
              <w:t>2</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1000-5000m</w:t>
            </w:r>
            <w:r>
              <w:rPr>
                <w:rFonts w:hint="eastAsia" w:ascii="仿宋" w:hAnsi="仿宋" w:eastAsia="仿宋" w:cs="宋体"/>
                <w:kern w:val="0"/>
                <w:sz w:val="24"/>
                <w:vertAlign w:val="superscript"/>
              </w:rPr>
              <w:t>2</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&lt;1000m</w:t>
            </w:r>
            <w:r>
              <w:rPr>
                <w:rFonts w:hint="eastAsia" w:ascii="仿宋" w:hAnsi="仿宋" w:eastAsia="仿宋" w:cs="宋体"/>
                <w:kern w:val="0"/>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高度</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&gt;50m</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24-50m</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&lt;24m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住宅建筑</w:t>
            </w: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层数</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&gt;20层</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12-20层</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&lt;12层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工业厂房</w:t>
            </w: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跨度</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&gt;30m</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24-30m</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&lt;24m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吊车吨位</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&gt;30吨</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10-30吨</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&lt;10吨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人防专项</w:t>
            </w: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防护级别</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四级以上</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五级及以下</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无级及配套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面积</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&gt;10000m</w:t>
            </w:r>
            <w:r>
              <w:rPr>
                <w:rFonts w:hint="eastAsia" w:ascii="仿宋" w:hAnsi="仿宋" w:eastAsia="仿宋" w:cs="宋体"/>
                <w:kern w:val="0"/>
                <w:sz w:val="24"/>
                <w:vertAlign w:val="superscript"/>
              </w:rPr>
              <w:t>2</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2000-10000m</w:t>
            </w:r>
            <w:r>
              <w:rPr>
                <w:rFonts w:hint="eastAsia" w:ascii="仿宋" w:hAnsi="仿宋" w:eastAsia="仿宋" w:cs="宋体"/>
                <w:kern w:val="0"/>
                <w:sz w:val="24"/>
                <w:vertAlign w:val="superscript"/>
              </w:rPr>
              <w:t>2</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&lt;2000m</w:t>
            </w:r>
            <w:r>
              <w:rPr>
                <w:rFonts w:hint="eastAsia" w:ascii="仿宋" w:hAnsi="仿宋" w:eastAsia="仿宋" w:cs="宋体"/>
                <w:kern w:val="0"/>
                <w:sz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基坑专项</w:t>
            </w: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深度</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&gt;12m</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5-12m</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&lt;5m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0" w:hRule="atLeast"/>
          <w:jc w:val="center"/>
        </w:trPr>
        <w:tc>
          <w:tcPr>
            <w:tcW w:w="16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装修专项</w:t>
            </w:r>
          </w:p>
        </w:tc>
        <w:tc>
          <w:tcPr>
            <w:tcW w:w="254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等级</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相当四、五星级宾馆</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相当二、三星级宾馆</w:t>
            </w:r>
          </w:p>
        </w:tc>
        <w:tc>
          <w:tcPr>
            <w:tcW w:w="284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相当一星级以下宾馆</w:t>
            </w:r>
          </w:p>
        </w:tc>
      </w:tr>
    </w:tbl>
    <w:p>
      <w:pPr>
        <w:ind w:firstLine="640" w:firstLineChars="200"/>
        <w:rPr>
          <w:rFonts w:hint="eastAsia" w:ascii="黑体" w:hAnsi="黑体" w:eastAsia="黑体"/>
        </w:rPr>
      </w:pPr>
      <w:r>
        <w:rPr>
          <w:rFonts w:hint="eastAsia" w:ascii="黑体" w:hAnsi="黑体" w:eastAsia="黑体"/>
        </w:rPr>
        <w:t>二、市政基础设施工程施工与管理（含园林绿化工程、给排水工程）</w:t>
      </w:r>
    </w:p>
    <w:tbl>
      <w:tblPr>
        <w:tblStyle w:val="5"/>
        <w:tblW w:w="12765" w:type="dxa"/>
        <w:jc w:val="center"/>
        <w:tblLayout w:type="fixed"/>
        <w:tblCellMar>
          <w:top w:w="0" w:type="dxa"/>
          <w:left w:w="108" w:type="dxa"/>
          <w:bottom w:w="0" w:type="dxa"/>
          <w:right w:w="108" w:type="dxa"/>
        </w:tblCellMar>
      </w:tblPr>
      <w:tblGrid>
        <w:gridCol w:w="585"/>
        <w:gridCol w:w="1235"/>
        <w:gridCol w:w="1760"/>
        <w:gridCol w:w="3676"/>
        <w:gridCol w:w="3411"/>
        <w:gridCol w:w="2098"/>
      </w:tblGrid>
      <w:tr>
        <w:tblPrEx>
          <w:tblCellMar>
            <w:top w:w="0" w:type="dxa"/>
            <w:left w:w="108" w:type="dxa"/>
            <w:bottom w:w="0" w:type="dxa"/>
            <w:right w:w="108" w:type="dxa"/>
          </w:tblCellMar>
        </w:tblPrEx>
        <w:trPr>
          <w:cantSplit/>
          <w:trHeight w:val="454" w:hRule="atLeast"/>
          <w:tblHeader/>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序号</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专业</w:t>
            </w: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子项</w:t>
            </w:r>
          </w:p>
        </w:tc>
        <w:tc>
          <w:tcPr>
            <w:tcW w:w="36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复杂工程</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中等复杂工程</w:t>
            </w:r>
          </w:p>
        </w:tc>
        <w:tc>
          <w:tcPr>
            <w:tcW w:w="20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一般工程</w:t>
            </w:r>
          </w:p>
        </w:tc>
      </w:tr>
      <w:tr>
        <w:tblPrEx>
          <w:tblCellMar>
            <w:top w:w="0" w:type="dxa"/>
            <w:left w:w="108" w:type="dxa"/>
            <w:bottom w:w="0" w:type="dxa"/>
            <w:right w:w="108" w:type="dxa"/>
          </w:tblCellMar>
        </w:tblPrEx>
        <w:trPr>
          <w:cantSplit/>
          <w:trHeight w:val="454" w:hRule="atLeast"/>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1</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市政基础设施工程施工与管理</w:t>
            </w: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普遍条件</w:t>
            </w:r>
          </w:p>
        </w:tc>
        <w:tc>
          <w:tcPr>
            <w:tcW w:w="36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工程造价3000万元及以上；（钱江杯）</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工程造价1000万元及以上，3000万元以下；</w:t>
            </w:r>
          </w:p>
        </w:tc>
        <w:tc>
          <w:tcPr>
            <w:tcW w:w="20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工程造价1000万元以下；（西湖杯）</w:t>
            </w:r>
          </w:p>
        </w:tc>
      </w:tr>
      <w:tr>
        <w:tblPrEx>
          <w:tblCellMar>
            <w:top w:w="0" w:type="dxa"/>
            <w:left w:w="108" w:type="dxa"/>
            <w:bottom w:w="0" w:type="dxa"/>
            <w:right w:w="108" w:type="dxa"/>
          </w:tblCellMar>
        </w:tblPrEx>
        <w:trPr>
          <w:cantSplit/>
          <w:trHeight w:val="454" w:hRule="atLeast"/>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2</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hint="eastAsia" w:ascii="仿宋" w:hAnsi="仿宋" w:eastAsia="仿宋" w:cs="宋体"/>
                <w:kern w:val="0"/>
                <w:sz w:val="24"/>
              </w:rPr>
            </w:pPr>
            <w:r>
              <w:rPr>
                <w:rFonts w:hint="eastAsia" w:ascii="仿宋" w:hAnsi="仿宋" w:eastAsia="仿宋" w:cs="宋体"/>
                <w:kern w:val="0"/>
                <w:sz w:val="24"/>
              </w:rPr>
              <w:t>道路桥梁</w:t>
            </w:r>
          </w:p>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工程</w:t>
            </w:r>
          </w:p>
        </w:tc>
        <w:tc>
          <w:tcPr>
            <w:tcW w:w="17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hint="eastAsia" w:ascii="仿宋" w:hAnsi="仿宋" w:eastAsia="仿宋" w:cs="宋体"/>
                <w:kern w:val="0"/>
                <w:sz w:val="24"/>
              </w:rPr>
            </w:pPr>
            <w:r>
              <w:rPr>
                <w:rFonts w:hint="eastAsia" w:ascii="仿宋" w:hAnsi="仿宋" w:eastAsia="仿宋" w:cs="宋体"/>
                <w:kern w:val="0"/>
                <w:sz w:val="24"/>
              </w:rPr>
              <w:t>不同专业的</w:t>
            </w:r>
          </w:p>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额外条件</w:t>
            </w:r>
          </w:p>
        </w:tc>
        <w:tc>
          <w:tcPr>
            <w:tcW w:w="36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hint="eastAsia" w:ascii="仿宋" w:hAnsi="仿宋" w:eastAsia="仿宋" w:cs="宋体"/>
                <w:kern w:val="0"/>
                <w:sz w:val="24"/>
              </w:rPr>
            </w:pPr>
            <w:r>
              <w:rPr>
                <w:rFonts w:hint="eastAsia" w:ascii="仿宋" w:hAnsi="仿宋" w:eastAsia="仿宋" w:cs="宋体"/>
                <w:kern w:val="0"/>
                <w:sz w:val="24"/>
              </w:rPr>
              <w:t>总长＞1000m，水深＞15m，单孔跨径为＞250m的预应力混凝土连续结构和钢筋混凝土拱桥，跨度400-1000m的斜拉桥、800-1500m的悬索桥等大桥工程；</w:t>
            </w:r>
          </w:p>
          <w:p>
            <w:pPr>
              <w:widowControl/>
              <w:spacing w:line="320" w:lineRule="exact"/>
              <w:rPr>
                <w:rFonts w:ascii="仿宋" w:hAnsi="仿宋" w:eastAsia="仿宋" w:cs="宋体"/>
                <w:kern w:val="0"/>
                <w:sz w:val="24"/>
              </w:rPr>
            </w:pPr>
            <w:r>
              <w:rPr>
                <w:rFonts w:hint="eastAsia" w:ascii="仿宋" w:hAnsi="仿宋" w:eastAsia="仿宋" w:cs="宋体"/>
                <w:kern w:val="0"/>
                <w:sz w:val="24"/>
              </w:rPr>
              <w:t>全苜蓿叶型、双喇叭型、枢纽型等各类独立的互通式立体交叉工程，隧道工程。</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hint="eastAsia" w:ascii="仿宋" w:hAnsi="仿宋" w:eastAsia="仿宋" w:cs="宋体"/>
                <w:kern w:val="0"/>
                <w:sz w:val="24"/>
              </w:rPr>
            </w:pPr>
            <w:r>
              <w:rPr>
                <w:rFonts w:hint="eastAsia" w:ascii="仿宋" w:hAnsi="仿宋" w:eastAsia="仿宋" w:cs="宋体"/>
                <w:kern w:val="0"/>
                <w:sz w:val="24"/>
              </w:rPr>
              <w:t>总长＞1000m，水深＞15m，单孔跨径为30-50m的预应力混凝土简支梁、30-100m的预应力混凝土连续箱梁等大桥工程；</w:t>
            </w:r>
          </w:p>
          <w:p>
            <w:pPr>
              <w:widowControl/>
              <w:spacing w:line="320" w:lineRule="exact"/>
              <w:rPr>
                <w:rFonts w:ascii="仿宋" w:hAnsi="仿宋" w:eastAsia="仿宋" w:cs="宋体"/>
                <w:kern w:val="0"/>
                <w:sz w:val="24"/>
              </w:rPr>
            </w:pPr>
            <w:r>
              <w:rPr>
                <w:rFonts w:hint="eastAsia" w:ascii="仿宋" w:hAnsi="仿宋" w:eastAsia="仿宋" w:cs="宋体"/>
                <w:kern w:val="0"/>
                <w:sz w:val="24"/>
              </w:rPr>
              <w:t>城市立交桥、人行天桥、地下通道、涵洞工程。</w:t>
            </w:r>
          </w:p>
        </w:tc>
        <w:tc>
          <w:tcPr>
            <w:tcW w:w="20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除复杂和中等复杂外的工程项目</w:t>
            </w:r>
          </w:p>
        </w:tc>
      </w:tr>
      <w:tr>
        <w:tblPrEx>
          <w:tblCellMar>
            <w:top w:w="0" w:type="dxa"/>
            <w:left w:w="108" w:type="dxa"/>
            <w:bottom w:w="0" w:type="dxa"/>
            <w:right w:w="108" w:type="dxa"/>
          </w:tblCellMar>
        </w:tblPrEx>
        <w:trPr>
          <w:cantSplit/>
          <w:trHeight w:val="454"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3</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园林绿化工程</w:t>
            </w:r>
          </w:p>
        </w:tc>
        <w:tc>
          <w:tcPr>
            <w:tcW w:w="17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p>
        </w:tc>
        <w:tc>
          <w:tcPr>
            <w:tcW w:w="36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hint="eastAsia" w:ascii="仿宋" w:hAnsi="仿宋" w:eastAsia="仿宋" w:cs="宋体"/>
                <w:kern w:val="0"/>
                <w:sz w:val="24"/>
              </w:rPr>
            </w:pPr>
            <w:r>
              <w:rPr>
                <w:rFonts w:hint="eastAsia" w:ascii="仿宋" w:hAnsi="仿宋" w:eastAsia="仿宋" w:cs="宋体"/>
                <w:kern w:val="0"/>
                <w:sz w:val="24"/>
              </w:rPr>
              <w:t>高标准的城市重点道路绿化工程；</w:t>
            </w:r>
          </w:p>
          <w:p>
            <w:pPr>
              <w:widowControl/>
              <w:spacing w:line="320" w:lineRule="exact"/>
              <w:rPr>
                <w:rFonts w:hint="eastAsia" w:ascii="仿宋" w:hAnsi="仿宋" w:eastAsia="仿宋" w:cs="宋体"/>
                <w:kern w:val="0"/>
                <w:sz w:val="24"/>
              </w:rPr>
            </w:pPr>
            <w:r>
              <w:rPr>
                <w:rFonts w:hint="eastAsia" w:ascii="仿宋" w:hAnsi="仿宋" w:eastAsia="仿宋" w:cs="宋体"/>
                <w:kern w:val="0"/>
                <w:sz w:val="24"/>
              </w:rPr>
              <w:t>高标准的风景区、公共建筑环境、企事业单位与居住区的绿化工程；</w:t>
            </w:r>
          </w:p>
          <w:p>
            <w:pPr>
              <w:widowControl/>
              <w:spacing w:line="320" w:lineRule="exact"/>
              <w:rPr>
                <w:rFonts w:ascii="仿宋" w:hAnsi="仿宋" w:eastAsia="仿宋" w:cs="宋体"/>
                <w:kern w:val="0"/>
                <w:sz w:val="24"/>
              </w:rPr>
            </w:pPr>
            <w:r>
              <w:rPr>
                <w:rFonts w:hint="eastAsia" w:ascii="仿宋" w:hAnsi="仿宋" w:eastAsia="仿宋" w:cs="宋体"/>
                <w:kern w:val="0"/>
                <w:sz w:val="24"/>
              </w:rPr>
              <w:t>公园、度假村、高尔夫球场、广场、街心花园、园林小品、屋顶花园、室内花园等绿化工程。</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hint="eastAsia" w:ascii="仿宋" w:hAnsi="仿宋" w:eastAsia="仿宋" w:cs="宋体"/>
                <w:kern w:val="0"/>
                <w:sz w:val="24"/>
              </w:rPr>
            </w:pPr>
            <w:r>
              <w:rPr>
                <w:rFonts w:hint="eastAsia" w:ascii="仿宋" w:hAnsi="仿宋" w:eastAsia="仿宋" w:cs="宋体"/>
                <w:kern w:val="0"/>
                <w:sz w:val="24"/>
              </w:rPr>
              <w:t>标准较高的道路绿化工程；</w:t>
            </w:r>
          </w:p>
          <w:p>
            <w:pPr>
              <w:widowControl/>
              <w:spacing w:line="320" w:lineRule="exact"/>
              <w:rPr>
                <w:rFonts w:ascii="仿宋" w:hAnsi="仿宋" w:eastAsia="仿宋" w:cs="宋体"/>
                <w:kern w:val="0"/>
                <w:sz w:val="24"/>
              </w:rPr>
            </w:pPr>
            <w:r>
              <w:rPr>
                <w:rFonts w:hint="eastAsia" w:ascii="仿宋" w:hAnsi="仿宋" w:eastAsia="仿宋" w:cs="宋体"/>
                <w:kern w:val="0"/>
                <w:sz w:val="24"/>
              </w:rPr>
              <w:t>一般标准的风景区、公共建筑环境、企事业单位与居住区的绿化工程。</w:t>
            </w:r>
          </w:p>
        </w:tc>
        <w:tc>
          <w:tcPr>
            <w:tcW w:w="20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除复杂和中等复杂外的工程项目</w:t>
            </w:r>
          </w:p>
        </w:tc>
      </w:tr>
      <w:tr>
        <w:tblPrEx>
          <w:tblCellMar>
            <w:top w:w="0" w:type="dxa"/>
            <w:left w:w="108" w:type="dxa"/>
            <w:bottom w:w="0" w:type="dxa"/>
            <w:right w:w="108" w:type="dxa"/>
          </w:tblCellMar>
        </w:tblPrEx>
        <w:trPr>
          <w:cantSplit/>
          <w:trHeight w:val="454"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4</w:t>
            </w:r>
          </w:p>
        </w:tc>
        <w:tc>
          <w:tcPr>
            <w:tcW w:w="1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hint="eastAsia" w:ascii="仿宋" w:hAnsi="仿宋" w:eastAsia="仿宋" w:cs="宋体"/>
                <w:kern w:val="0"/>
                <w:sz w:val="24"/>
              </w:rPr>
            </w:pPr>
            <w:r>
              <w:rPr>
                <w:rFonts w:hint="eastAsia" w:ascii="仿宋" w:hAnsi="仿宋" w:eastAsia="仿宋" w:cs="宋体"/>
                <w:kern w:val="0"/>
                <w:sz w:val="24"/>
              </w:rPr>
              <w:t>给排水</w:t>
            </w:r>
          </w:p>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工程</w:t>
            </w:r>
          </w:p>
        </w:tc>
        <w:tc>
          <w:tcPr>
            <w:tcW w:w="17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仿宋" w:hAnsi="仿宋" w:eastAsia="仿宋" w:cs="宋体"/>
                <w:kern w:val="0"/>
                <w:sz w:val="24"/>
              </w:rPr>
            </w:pPr>
          </w:p>
        </w:tc>
        <w:tc>
          <w:tcPr>
            <w:tcW w:w="36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≥3m</w:t>
            </w:r>
            <w:r>
              <w:rPr>
                <w:rFonts w:ascii="仿宋" w:hAnsi="仿宋" w:eastAsia="仿宋"/>
                <w:kern w:val="0"/>
                <w:sz w:val="24"/>
              </w:rPr>
              <w:t>³</w:t>
            </w:r>
            <w:r>
              <w:rPr>
                <w:rFonts w:ascii="仿宋" w:hAnsi="仿宋" w:eastAsia="仿宋" w:cs="宋体"/>
                <w:kern w:val="0"/>
                <w:sz w:val="24"/>
              </w:rPr>
              <w:t>/s的给水、污水泵站，≥15 m</w:t>
            </w:r>
            <w:r>
              <w:rPr>
                <w:rFonts w:ascii="仿宋" w:hAnsi="仿宋" w:eastAsia="仿宋"/>
                <w:kern w:val="0"/>
                <w:sz w:val="24"/>
              </w:rPr>
              <w:t>³</w:t>
            </w:r>
            <w:r>
              <w:rPr>
                <w:rFonts w:ascii="仿宋" w:hAnsi="仿宋" w:eastAsia="仿宋" w:cs="宋体"/>
                <w:kern w:val="0"/>
                <w:sz w:val="24"/>
              </w:rPr>
              <w:t>/s的雨水泵站，≥10万吨/日给水厂工程，≥5万吨/日污水处理厂工程，直径≥2.5m的给排水管道；</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＜3m</w:t>
            </w:r>
            <w:r>
              <w:rPr>
                <w:rFonts w:ascii="仿宋" w:hAnsi="仿宋" w:eastAsia="仿宋"/>
                <w:kern w:val="0"/>
                <w:sz w:val="24"/>
              </w:rPr>
              <w:t>³</w:t>
            </w:r>
            <w:r>
              <w:rPr>
                <w:rFonts w:ascii="仿宋" w:hAnsi="仿宋" w:eastAsia="仿宋" w:cs="宋体"/>
                <w:kern w:val="0"/>
                <w:sz w:val="24"/>
              </w:rPr>
              <w:t>/s的给水、污水泵站，＜15 m</w:t>
            </w:r>
            <w:r>
              <w:rPr>
                <w:rFonts w:ascii="仿宋" w:hAnsi="仿宋" w:eastAsia="仿宋"/>
                <w:kern w:val="0"/>
                <w:sz w:val="24"/>
              </w:rPr>
              <w:t>³</w:t>
            </w:r>
            <w:r>
              <w:rPr>
                <w:rFonts w:ascii="仿宋" w:hAnsi="仿宋" w:eastAsia="仿宋" w:cs="宋体"/>
                <w:kern w:val="0"/>
                <w:sz w:val="24"/>
              </w:rPr>
              <w:t>/s的雨水泵站，＜10万吨/日给水厂工程，＜5万吨/日污水处理厂工程，直径2.5m以上的给排水管道；</w:t>
            </w:r>
          </w:p>
        </w:tc>
        <w:tc>
          <w:tcPr>
            <w:tcW w:w="20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除复杂和中等复杂外的工程项目</w:t>
            </w:r>
          </w:p>
        </w:tc>
      </w:tr>
      <w:tr>
        <w:tblPrEx>
          <w:tblCellMar>
            <w:top w:w="0" w:type="dxa"/>
            <w:left w:w="108" w:type="dxa"/>
            <w:bottom w:w="0" w:type="dxa"/>
            <w:right w:w="108" w:type="dxa"/>
          </w:tblCellMar>
        </w:tblPrEx>
        <w:trPr>
          <w:cantSplit/>
          <w:trHeight w:val="454" w:hRule="atLeast"/>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5</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交通路网类专项规划</w:t>
            </w: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适用于申报给排水、市政道路（桥梁）、建筑电气、燃气工程等专业</w:t>
            </w:r>
          </w:p>
        </w:tc>
        <w:tc>
          <w:tcPr>
            <w:tcW w:w="36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县级交通专项规划（包括路网、轨道、停车、慢行、公交等）。</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5平方公里及以上交通专项规划（包括综合交通、路网、轨道、停车、慢行、公交等）。</w:t>
            </w:r>
          </w:p>
        </w:tc>
        <w:tc>
          <w:tcPr>
            <w:tcW w:w="20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cantSplit/>
          <w:trHeight w:val="454" w:hRule="atLeast"/>
          <w:jc w:val="center"/>
        </w:trPr>
        <w:tc>
          <w:tcPr>
            <w:tcW w:w="58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6</w:t>
            </w:r>
          </w:p>
        </w:tc>
        <w:tc>
          <w:tcPr>
            <w:tcW w:w="123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市政工程类专项规划</w:t>
            </w:r>
          </w:p>
        </w:tc>
        <w:tc>
          <w:tcPr>
            <w:tcW w:w="17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适用于申报给排水、市政道路（桥梁）、建筑电气、燃气工程等专业</w:t>
            </w:r>
          </w:p>
        </w:tc>
        <w:tc>
          <w:tcPr>
            <w:tcW w:w="367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县级市政基础设施专项规划（包括水系、给水、排水、防涝、海绵、管廊、管线综合、燃气、电力通信等）。</w:t>
            </w:r>
          </w:p>
        </w:tc>
        <w:tc>
          <w:tcPr>
            <w:tcW w:w="341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5平方公里及以上市政基础设施专项规划（包括水系、给水、排水、防涝、海绵、管廊、管线综合、燃气、电力通信等）。</w:t>
            </w:r>
          </w:p>
        </w:tc>
        <w:tc>
          <w:tcPr>
            <w:tcW w:w="209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w:t>
            </w:r>
          </w:p>
        </w:tc>
      </w:tr>
    </w:tbl>
    <w:p>
      <w:pPr>
        <w:ind w:firstLine="640" w:firstLineChars="200"/>
        <w:rPr>
          <w:rFonts w:hint="eastAsia" w:ascii="黑体" w:hAnsi="黑体" w:eastAsia="黑体"/>
        </w:rPr>
      </w:pPr>
      <w:r>
        <w:rPr>
          <w:rFonts w:hint="eastAsia" w:ascii="黑体" w:hAnsi="黑体" w:eastAsia="黑体"/>
        </w:rPr>
        <w:t>三、测绘、勘察</w:t>
      </w:r>
    </w:p>
    <w:tbl>
      <w:tblPr>
        <w:tblStyle w:val="5"/>
        <w:tblW w:w="127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948"/>
        <w:gridCol w:w="1029"/>
        <w:gridCol w:w="3417"/>
        <w:gridCol w:w="2414"/>
        <w:gridCol w:w="1990"/>
        <w:gridCol w:w="2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tblHeader/>
          <w:jc w:val="center"/>
        </w:trPr>
        <w:tc>
          <w:tcPr>
            <w:tcW w:w="730" w:type="dxa"/>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序号</w:t>
            </w:r>
          </w:p>
        </w:tc>
        <w:tc>
          <w:tcPr>
            <w:tcW w:w="948" w:type="dxa"/>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专业</w:t>
            </w:r>
          </w:p>
        </w:tc>
        <w:tc>
          <w:tcPr>
            <w:tcW w:w="1029" w:type="dxa"/>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子项</w:t>
            </w:r>
          </w:p>
        </w:tc>
        <w:tc>
          <w:tcPr>
            <w:tcW w:w="3417" w:type="dxa"/>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复杂工程</w:t>
            </w:r>
          </w:p>
        </w:tc>
        <w:tc>
          <w:tcPr>
            <w:tcW w:w="2414" w:type="dxa"/>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中等复杂工程</w:t>
            </w:r>
          </w:p>
        </w:tc>
        <w:tc>
          <w:tcPr>
            <w:tcW w:w="1990" w:type="dxa"/>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一般工程</w:t>
            </w:r>
          </w:p>
        </w:tc>
        <w:tc>
          <w:tcPr>
            <w:tcW w:w="2245" w:type="dxa"/>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1</w:t>
            </w:r>
          </w:p>
        </w:tc>
        <w:tc>
          <w:tcPr>
            <w:tcW w:w="948" w:type="dxa"/>
            <w:vMerge w:val="restart"/>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测绘</w:t>
            </w:r>
          </w:p>
        </w:tc>
        <w:tc>
          <w:tcPr>
            <w:tcW w:w="1029" w:type="dxa"/>
            <w:vMerge w:val="restart"/>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无</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项目产值不低于100万元</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项目产值不低于30万元</w:t>
            </w:r>
          </w:p>
        </w:tc>
        <w:tc>
          <w:tcPr>
            <w:tcW w:w="1990" w:type="dxa"/>
            <w:vMerge w:val="restart"/>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非复杂类和中等复杂类工程</w:t>
            </w:r>
          </w:p>
        </w:tc>
        <w:tc>
          <w:tcPr>
            <w:tcW w:w="2245"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2</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技术难度大，有创新，获取过浙江省测绘与地理信息科学技术进步奖一等奖或二等奖或三等奖</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设计路线较先进，获取过浙江省优秀测绘与地理信息工程银奖或铜奖</w:t>
            </w:r>
          </w:p>
        </w:tc>
        <w:tc>
          <w:tcPr>
            <w:tcW w:w="1990" w:type="dxa"/>
            <w:vMerge w:val="continue"/>
            <w:shd w:val="clear" w:color="auto" w:fill="auto"/>
            <w:noWrap w:val="0"/>
            <w:vAlign w:val="center"/>
          </w:tcPr>
          <w:p>
            <w:pPr>
              <w:widowControl/>
              <w:spacing w:line="300" w:lineRule="exact"/>
              <w:rPr>
                <w:rFonts w:ascii="仿宋" w:hAnsi="仿宋" w:eastAsia="仿宋" w:cs="宋体"/>
                <w:kern w:val="0"/>
                <w:sz w:val="24"/>
              </w:rPr>
            </w:pP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30" w:type="dxa"/>
            <w:shd w:val="clear" w:color="auto" w:fill="auto"/>
            <w:noWrap w:val="0"/>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3</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技术路线先进，获取过浙江省优秀测绘与地理信息工程金奖</w:t>
            </w:r>
          </w:p>
        </w:tc>
        <w:tc>
          <w:tcPr>
            <w:tcW w:w="2414" w:type="dxa"/>
            <w:vMerge w:val="restart"/>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内容涉及两个专业（大地测量、测绘航空摄影、摄影测量与遥感、工程测量、地籍测绘、房产测绘、行政区域界线测绘、地理信息系统工程、地图编制、海洋测绘、导航电子地图制作和互联网地图服务）</w:t>
            </w:r>
          </w:p>
        </w:tc>
        <w:tc>
          <w:tcPr>
            <w:tcW w:w="1990" w:type="dxa"/>
            <w:vMerge w:val="continue"/>
            <w:shd w:val="clear" w:color="auto" w:fill="auto"/>
            <w:noWrap w:val="0"/>
            <w:vAlign w:val="center"/>
          </w:tcPr>
          <w:p>
            <w:pPr>
              <w:widowControl/>
              <w:spacing w:line="300" w:lineRule="exact"/>
              <w:rPr>
                <w:rFonts w:ascii="仿宋" w:hAnsi="仿宋" w:eastAsia="仿宋" w:cs="宋体"/>
                <w:kern w:val="0"/>
                <w:sz w:val="24"/>
              </w:rPr>
            </w:pP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4</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内容涉及三个或三个以上的专业（大地测量、测绘航空摄影、摄影测量与遥感、工程测量、地籍测绘、房产测绘、行政区域界线测绘、地理信息系统工程、地图编制、海洋测绘、导航电子地图制作和互联网地图服务）</w:t>
            </w:r>
          </w:p>
        </w:tc>
        <w:tc>
          <w:tcPr>
            <w:tcW w:w="2414" w:type="dxa"/>
            <w:vMerge w:val="continue"/>
            <w:shd w:val="clear" w:color="auto" w:fill="auto"/>
            <w:noWrap w:val="0"/>
            <w:vAlign w:val="center"/>
          </w:tcPr>
          <w:p>
            <w:pPr>
              <w:widowControl/>
              <w:spacing w:line="300" w:lineRule="exact"/>
              <w:rPr>
                <w:rFonts w:ascii="仿宋" w:hAnsi="仿宋" w:eastAsia="仿宋" w:cs="宋体"/>
                <w:kern w:val="0"/>
                <w:sz w:val="24"/>
              </w:rPr>
            </w:pPr>
          </w:p>
        </w:tc>
        <w:tc>
          <w:tcPr>
            <w:tcW w:w="1990" w:type="dxa"/>
            <w:vMerge w:val="continue"/>
            <w:shd w:val="clear" w:color="auto" w:fill="auto"/>
            <w:noWrap w:val="0"/>
            <w:vAlign w:val="center"/>
          </w:tcPr>
          <w:p>
            <w:pPr>
              <w:widowControl/>
              <w:spacing w:line="300" w:lineRule="exact"/>
              <w:rPr>
                <w:rFonts w:ascii="仿宋" w:hAnsi="仿宋" w:eastAsia="仿宋" w:cs="宋体"/>
                <w:kern w:val="0"/>
                <w:sz w:val="24"/>
              </w:rPr>
            </w:pP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5</w:t>
            </w:r>
          </w:p>
        </w:tc>
        <w:tc>
          <w:tcPr>
            <w:tcW w:w="948"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测绘专业中的大地测量专业</w:t>
            </w:r>
          </w:p>
        </w:tc>
        <w:tc>
          <w:tcPr>
            <w:tcW w:w="1029"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无</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spacing w:val="-4"/>
                <w:kern w:val="0"/>
                <w:sz w:val="24"/>
              </w:rPr>
            </w:pPr>
            <w:r>
              <w:rPr>
                <w:rFonts w:hint="eastAsia" w:ascii="仿宋" w:hAnsi="仿宋" w:eastAsia="仿宋" w:cs="宋体"/>
                <w:spacing w:val="-4"/>
                <w:kern w:val="0"/>
                <w:sz w:val="24"/>
              </w:rPr>
              <w:t>较高等级的控制测量，如GPSA级、B级、C级测量，一、二等水准测量；非常规测量，如天文观测、重力观测；基岩、基本标石的埋设</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一般等级的控制测量，如GPSD级、E级测量，三、四等水准测量</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测量标志普查，数据处理计算</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6</w:t>
            </w:r>
          </w:p>
        </w:tc>
        <w:tc>
          <w:tcPr>
            <w:tcW w:w="948"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测绘专业中的摄影测量与遥感专业</w:t>
            </w:r>
          </w:p>
        </w:tc>
        <w:tc>
          <w:tcPr>
            <w:tcW w:w="1029"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无</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各比例尺数字线划地图生产，地物地貌调绘</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像片控制点连测</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航片、卫片数字高程模型和数字正射影像图生产</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7</w:t>
            </w:r>
          </w:p>
        </w:tc>
        <w:tc>
          <w:tcPr>
            <w:tcW w:w="948" w:type="dxa"/>
            <w:vMerge w:val="restart"/>
            <w:shd w:val="clear" w:color="auto" w:fill="auto"/>
            <w:noWrap w:val="0"/>
            <w:tcMar>
              <w:top w:w="15" w:type="dxa"/>
              <w:left w:w="15" w:type="dxa"/>
              <w:bottom w:w="15" w:type="dxa"/>
              <w:right w:w="15" w:type="dxa"/>
            </w:tcMar>
            <w:vAlign w:val="top"/>
          </w:tcPr>
          <w:p>
            <w:pPr>
              <w:widowControl/>
              <w:spacing w:line="300" w:lineRule="exact"/>
              <w:jc w:val="center"/>
              <w:rPr>
                <w:rFonts w:hint="eastAsia" w:ascii="仿宋" w:hAnsi="仿宋" w:eastAsia="仿宋" w:cs="宋体"/>
                <w:kern w:val="0"/>
                <w:sz w:val="24"/>
              </w:rPr>
            </w:pPr>
          </w:p>
          <w:p>
            <w:pPr>
              <w:widowControl/>
              <w:spacing w:line="300" w:lineRule="exact"/>
              <w:jc w:val="center"/>
              <w:rPr>
                <w:rFonts w:hint="eastAsia" w:ascii="仿宋" w:hAnsi="仿宋" w:eastAsia="仿宋" w:cs="宋体"/>
                <w:kern w:val="0"/>
                <w:sz w:val="24"/>
              </w:rPr>
            </w:pPr>
          </w:p>
          <w:p>
            <w:pPr>
              <w:widowControl/>
              <w:spacing w:line="300" w:lineRule="exact"/>
              <w:jc w:val="center"/>
              <w:rPr>
                <w:rFonts w:hint="eastAsia" w:ascii="仿宋" w:hAnsi="仿宋" w:eastAsia="仿宋" w:cs="宋体"/>
                <w:kern w:val="0"/>
                <w:sz w:val="24"/>
              </w:rPr>
            </w:pPr>
          </w:p>
          <w:p>
            <w:pPr>
              <w:widowControl/>
              <w:spacing w:line="300" w:lineRule="exact"/>
              <w:jc w:val="center"/>
              <w:rPr>
                <w:rFonts w:hint="eastAsia" w:ascii="仿宋" w:hAnsi="仿宋" w:eastAsia="仿宋" w:cs="宋体"/>
                <w:kern w:val="0"/>
                <w:sz w:val="24"/>
              </w:rPr>
            </w:pPr>
          </w:p>
          <w:p>
            <w:pPr>
              <w:widowControl/>
              <w:spacing w:line="300" w:lineRule="exact"/>
              <w:jc w:val="center"/>
              <w:rPr>
                <w:rFonts w:hint="eastAsia" w:ascii="仿宋" w:hAnsi="仿宋" w:eastAsia="仿宋" w:cs="宋体"/>
                <w:kern w:val="0"/>
                <w:sz w:val="24"/>
              </w:rPr>
            </w:pPr>
          </w:p>
          <w:p>
            <w:pPr>
              <w:widowControl/>
              <w:spacing w:line="300" w:lineRule="exact"/>
              <w:jc w:val="center"/>
              <w:rPr>
                <w:rFonts w:hint="eastAsia" w:ascii="仿宋" w:hAnsi="仿宋" w:eastAsia="仿宋" w:cs="宋体"/>
                <w:kern w:val="0"/>
                <w:sz w:val="24"/>
              </w:rPr>
            </w:pPr>
          </w:p>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测绘专业中的工程测量专业</w:t>
            </w:r>
          </w:p>
        </w:tc>
        <w:tc>
          <w:tcPr>
            <w:tcW w:w="1029"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控制测量</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三等及以上</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四等以下</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8</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vMerge w:val="restart"/>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地形测量</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1:500，30km</w:t>
            </w:r>
            <w:r>
              <w:rPr>
                <w:rFonts w:hint="eastAsia" w:ascii="仿宋" w:hAnsi="仿宋" w:eastAsia="仿宋" w:cs="宋体"/>
                <w:kern w:val="0"/>
                <w:sz w:val="24"/>
                <w:vertAlign w:val="superscript"/>
              </w:rPr>
              <w:t>2</w:t>
            </w:r>
            <w:r>
              <w:rPr>
                <w:rFonts w:hint="eastAsia" w:ascii="仿宋" w:hAnsi="仿宋" w:eastAsia="仿宋" w:cs="宋体"/>
                <w:kern w:val="0"/>
                <w:sz w:val="24"/>
              </w:rPr>
              <w:t>以上；</w:t>
            </w:r>
          </w:p>
        </w:tc>
        <w:tc>
          <w:tcPr>
            <w:tcW w:w="2414" w:type="dxa"/>
            <w:vMerge w:val="restart"/>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1:500，15km</w:t>
            </w:r>
            <w:r>
              <w:rPr>
                <w:rFonts w:hint="eastAsia" w:ascii="仿宋" w:hAnsi="仿宋" w:eastAsia="仿宋" w:cs="宋体"/>
                <w:kern w:val="0"/>
                <w:sz w:val="24"/>
                <w:vertAlign w:val="superscript"/>
              </w:rPr>
              <w:t>2</w:t>
            </w:r>
            <w:r>
              <w:rPr>
                <w:rFonts w:hint="eastAsia" w:ascii="仿宋" w:hAnsi="仿宋" w:eastAsia="仿宋" w:cs="宋体"/>
                <w:kern w:val="0"/>
                <w:sz w:val="24"/>
              </w:rPr>
              <w:t>以下；</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9</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1:1000，50km</w:t>
            </w:r>
            <w:r>
              <w:rPr>
                <w:rFonts w:hint="eastAsia" w:ascii="仿宋" w:hAnsi="仿宋" w:eastAsia="仿宋" w:cs="宋体"/>
                <w:kern w:val="0"/>
                <w:sz w:val="24"/>
                <w:vertAlign w:val="superscript"/>
              </w:rPr>
              <w:t>2</w:t>
            </w:r>
            <w:r>
              <w:rPr>
                <w:rFonts w:hint="eastAsia" w:ascii="仿宋" w:hAnsi="仿宋" w:eastAsia="仿宋" w:cs="宋体"/>
                <w:kern w:val="0"/>
                <w:sz w:val="24"/>
              </w:rPr>
              <w:t>以上；</w:t>
            </w:r>
          </w:p>
        </w:tc>
        <w:tc>
          <w:tcPr>
            <w:tcW w:w="2414" w:type="dxa"/>
            <w:vMerge w:val="continue"/>
            <w:shd w:val="clear" w:color="auto" w:fill="auto"/>
            <w:noWrap w:val="0"/>
            <w:vAlign w:val="center"/>
          </w:tcPr>
          <w:p>
            <w:pPr>
              <w:widowControl/>
              <w:spacing w:line="300" w:lineRule="exact"/>
              <w:rPr>
                <w:rFonts w:ascii="仿宋" w:hAnsi="仿宋" w:eastAsia="仿宋" w:cs="宋体"/>
                <w:kern w:val="0"/>
                <w:sz w:val="24"/>
              </w:rPr>
            </w:pP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1:1000，20km</w:t>
            </w:r>
            <w:r>
              <w:rPr>
                <w:rFonts w:hint="eastAsia" w:ascii="仿宋" w:hAnsi="仿宋" w:eastAsia="仿宋" w:cs="宋体"/>
                <w:kern w:val="0"/>
                <w:sz w:val="24"/>
                <w:vertAlign w:val="superscript"/>
              </w:rPr>
              <w:t>2</w:t>
            </w:r>
            <w:r>
              <w:rPr>
                <w:rFonts w:hint="eastAsia" w:ascii="仿宋" w:hAnsi="仿宋" w:eastAsia="仿宋" w:cs="宋体"/>
                <w:kern w:val="0"/>
                <w:sz w:val="24"/>
              </w:rPr>
              <w:t>以下；</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10</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1:2000，80km</w:t>
            </w:r>
            <w:r>
              <w:rPr>
                <w:rFonts w:hint="eastAsia" w:ascii="仿宋" w:hAnsi="仿宋" w:eastAsia="仿宋" w:cs="宋体"/>
                <w:kern w:val="0"/>
                <w:sz w:val="24"/>
                <w:vertAlign w:val="superscript"/>
              </w:rPr>
              <w:t>2</w:t>
            </w:r>
            <w:r>
              <w:rPr>
                <w:rFonts w:hint="eastAsia" w:ascii="仿宋" w:hAnsi="仿宋" w:eastAsia="仿宋" w:cs="宋体"/>
                <w:kern w:val="0"/>
                <w:sz w:val="24"/>
              </w:rPr>
              <w:t>2以上；</w:t>
            </w:r>
          </w:p>
        </w:tc>
        <w:tc>
          <w:tcPr>
            <w:tcW w:w="2414" w:type="dxa"/>
            <w:vMerge w:val="continue"/>
            <w:shd w:val="clear" w:color="auto" w:fill="auto"/>
            <w:noWrap w:val="0"/>
            <w:vAlign w:val="center"/>
          </w:tcPr>
          <w:p>
            <w:pPr>
              <w:widowControl/>
              <w:spacing w:line="300" w:lineRule="exact"/>
              <w:rPr>
                <w:rFonts w:ascii="仿宋" w:hAnsi="仿宋" w:eastAsia="仿宋" w:cs="宋体"/>
                <w:kern w:val="0"/>
                <w:sz w:val="24"/>
              </w:rPr>
            </w:pP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1:2000，30km</w:t>
            </w:r>
            <w:r>
              <w:rPr>
                <w:rFonts w:hint="eastAsia" w:ascii="仿宋" w:hAnsi="仿宋" w:eastAsia="仿宋" w:cs="宋体"/>
                <w:kern w:val="0"/>
                <w:sz w:val="24"/>
                <w:vertAlign w:val="superscript"/>
              </w:rPr>
              <w:t>2</w:t>
            </w:r>
            <w:r>
              <w:rPr>
                <w:rFonts w:hint="eastAsia" w:ascii="仿宋" w:hAnsi="仿宋" w:eastAsia="仿宋" w:cs="宋体"/>
                <w:kern w:val="0"/>
                <w:sz w:val="24"/>
              </w:rPr>
              <w:t>以下；</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11</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规划测量</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总建筑面积50万m</w:t>
            </w:r>
            <w:r>
              <w:rPr>
                <w:rFonts w:hint="eastAsia" w:ascii="仿宋" w:hAnsi="仿宋" w:eastAsia="仿宋" w:cs="宋体"/>
                <w:kern w:val="0"/>
                <w:sz w:val="24"/>
                <w:vertAlign w:val="superscript"/>
              </w:rPr>
              <w:t>2</w:t>
            </w:r>
            <w:r>
              <w:rPr>
                <w:rFonts w:hint="eastAsia" w:ascii="仿宋" w:hAnsi="仿宋" w:eastAsia="仿宋" w:cs="宋体"/>
                <w:kern w:val="0"/>
                <w:sz w:val="24"/>
              </w:rPr>
              <w:t>以上</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总建筑面积30万m</w:t>
            </w:r>
            <w:r>
              <w:rPr>
                <w:rFonts w:hint="eastAsia" w:ascii="仿宋" w:hAnsi="仿宋" w:eastAsia="仿宋" w:cs="宋体"/>
                <w:kern w:val="0"/>
                <w:sz w:val="24"/>
                <w:vertAlign w:val="superscript"/>
              </w:rPr>
              <w:t>2</w:t>
            </w:r>
            <w:r>
              <w:rPr>
                <w:rFonts w:hint="eastAsia" w:ascii="仿宋" w:hAnsi="仿宋" w:eastAsia="仿宋" w:cs="宋体"/>
                <w:kern w:val="0"/>
                <w:sz w:val="24"/>
              </w:rPr>
              <w:t>以下</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12</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建筑工程测量</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建筑面积10万m</w:t>
            </w:r>
            <w:r>
              <w:rPr>
                <w:rFonts w:hint="eastAsia" w:ascii="仿宋" w:hAnsi="仿宋" w:eastAsia="仿宋" w:cs="宋体"/>
                <w:kern w:val="0"/>
                <w:sz w:val="24"/>
                <w:vertAlign w:val="superscript"/>
              </w:rPr>
              <w:t>2</w:t>
            </w:r>
            <w:r>
              <w:rPr>
                <w:rFonts w:hint="eastAsia" w:ascii="仿宋" w:hAnsi="仿宋" w:eastAsia="仿宋" w:cs="宋体"/>
                <w:kern w:val="0"/>
                <w:sz w:val="24"/>
              </w:rPr>
              <w:t>以上或高度100m以上的建筑</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建筑面积2万m</w:t>
            </w:r>
            <w:r>
              <w:rPr>
                <w:rFonts w:hint="eastAsia" w:ascii="仿宋" w:hAnsi="仿宋" w:eastAsia="仿宋" w:cs="宋体"/>
                <w:kern w:val="0"/>
                <w:sz w:val="24"/>
                <w:vertAlign w:val="superscript"/>
              </w:rPr>
              <w:t>2</w:t>
            </w:r>
            <w:r>
              <w:rPr>
                <w:rFonts w:hint="eastAsia" w:ascii="仿宋" w:hAnsi="仿宋" w:eastAsia="仿宋" w:cs="宋体"/>
                <w:kern w:val="0"/>
                <w:sz w:val="24"/>
              </w:rPr>
              <w:t>以下或高度50m以下的建筑</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shd w:val="clear" w:color="auto" w:fill="auto"/>
            <w:noWrap w:val="0"/>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13</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变形形变与精密测量</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建筑面积10万m</w:t>
            </w:r>
            <w:r>
              <w:rPr>
                <w:rFonts w:hint="eastAsia" w:ascii="仿宋" w:hAnsi="仿宋" w:eastAsia="仿宋" w:cs="宋体"/>
                <w:kern w:val="0"/>
                <w:sz w:val="24"/>
                <w:vertAlign w:val="superscript"/>
              </w:rPr>
              <w:t>2</w:t>
            </w:r>
            <w:r>
              <w:rPr>
                <w:rFonts w:hint="eastAsia" w:ascii="仿宋" w:hAnsi="仿宋" w:eastAsia="仿宋" w:cs="宋体"/>
                <w:kern w:val="0"/>
                <w:sz w:val="24"/>
              </w:rPr>
              <w:t>以上或高度100m以上的建筑</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建筑面积2万m</w:t>
            </w:r>
            <w:r>
              <w:rPr>
                <w:rFonts w:hint="eastAsia" w:ascii="仿宋" w:hAnsi="仿宋" w:eastAsia="仿宋" w:cs="宋体"/>
                <w:kern w:val="0"/>
                <w:sz w:val="24"/>
                <w:vertAlign w:val="superscript"/>
              </w:rPr>
              <w:t>2</w:t>
            </w:r>
            <w:r>
              <w:rPr>
                <w:rFonts w:hint="eastAsia" w:ascii="仿宋" w:hAnsi="仿宋" w:eastAsia="仿宋" w:cs="宋体"/>
                <w:kern w:val="0"/>
                <w:sz w:val="24"/>
              </w:rPr>
              <w:t>以下或高度50m以下的建筑</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shd w:val="clear" w:color="auto" w:fill="auto"/>
            <w:noWrap w:val="0"/>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14</w:t>
            </w:r>
          </w:p>
        </w:tc>
        <w:tc>
          <w:tcPr>
            <w:tcW w:w="948" w:type="dxa"/>
            <w:vMerge w:val="continue"/>
            <w:shd w:val="clear" w:color="auto" w:fill="auto"/>
            <w:noWrap w:val="0"/>
            <w:vAlign w:val="center"/>
          </w:tcPr>
          <w:p>
            <w:pPr>
              <w:widowControl/>
              <w:spacing w:line="300" w:lineRule="exact"/>
              <w:jc w:val="center"/>
              <w:rPr>
                <w:rFonts w:ascii="仿宋" w:hAnsi="仿宋" w:eastAsia="仿宋" w:cs="宋体"/>
                <w:kern w:val="0"/>
                <w:sz w:val="24"/>
              </w:rPr>
            </w:pPr>
          </w:p>
        </w:tc>
        <w:tc>
          <w:tcPr>
            <w:tcW w:w="1029" w:type="dxa"/>
            <w:shd w:val="clear" w:color="auto" w:fill="auto"/>
            <w:noWrap w:val="0"/>
            <w:tcMar>
              <w:top w:w="15" w:type="dxa"/>
              <w:left w:w="15" w:type="dxa"/>
              <w:bottom w:w="15" w:type="dxa"/>
              <w:right w:w="15" w:type="dxa"/>
            </w:tcMar>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市政工程测量</w:t>
            </w:r>
          </w:p>
        </w:tc>
        <w:tc>
          <w:tcPr>
            <w:tcW w:w="3417"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大城市主干道路；复杂立交桥</w:t>
            </w:r>
          </w:p>
        </w:tc>
        <w:tc>
          <w:tcPr>
            <w:tcW w:w="2414"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中等城市一般道路；小城市道路</w:t>
            </w:r>
          </w:p>
        </w:tc>
        <w:tc>
          <w:tcPr>
            <w:tcW w:w="2245" w:type="dxa"/>
            <w:shd w:val="clear" w:color="auto" w:fill="auto"/>
            <w:noWrap w:val="0"/>
            <w:vAlign w:val="center"/>
          </w:tcPr>
          <w:p>
            <w:pPr>
              <w:widowControl/>
              <w:spacing w:line="30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shd w:val="clear" w:color="auto" w:fill="auto"/>
            <w:noWrap w:val="0"/>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15</w:t>
            </w:r>
          </w:p>
        </w:tc>
        <w:tc>
          <w:tcPr>
            <w:tcW w:w="948" w:type="dxa"/>
            <w:vMerge w:val="continue"/>
            <w:shd w:val="clear" w:color="auto" w:fill="auto"/>
            <w:noWrap w:val="0"/>
            <w:vAlign w:val="center"/>
          </w:tcPr>
          <w:p>
            <w:pPr>
              <w:widowControl/>
              <w:spacing w:line="290" w:lineRule="exact"/>
              <w:jc w:val="center"/>
              <w:rPr>
                <w:rFonts w:ascii="仿宋" w:hAnsi="仿宋" w:eastAsia="仿宋" w:cs="宋体"/>
                <w:kern w:val="0"/>
                <w:sz w:val="24"/>
              </w:rPr>
            </w:pPr>
          </w:p>
        </w:tc>
        <w:tc>
          <w:tcPr>
            <w:tcW w:w="1029" w:type="dxa"/>
            <w:shd w:val="clear" w:color="auto" w:fill="auto"/>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水利工程测量</w:t>
            </w:r>
          </w:p>
        </w:tc>
        <w:tc>
          <w:tcPr>
            <w:tcW w:w="3417"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特大型、大型水利水电工程</w:t>
            </w:r>
          </w:p>
        </w:tc>
        <w:tc>
          <w:tcPr>
            <w:tcW w:w="2414"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小型水利水电工程</w:t>
            </w:r>
          </w:p>
        </w:tc>
        <w:tc>
          <w:tcPr>
            <w:tcW w:w="2245" w:type="dxa"/>
            <w:shd w:val="clear" w:color="auto" w:fill="auto"/>
            <w:noWrap w:val="0"/>
            <w:vAlign w:val="center"/>
          </w:tcPr>
          <w:p>
            <w:pPr>
              <w:widowControl/>
              <w:spacing w:line="29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shd w:val="clear" w:color="auto" w:fill="auto"/>
            <w:noWrap w:val="0"/>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16</w:t>
            </w:r>
          </w:p>
        </w:tc>
        <w:tc>
          <w:tcPr>
            <w:tcW w:w="948" w:type="dxa"/>
            <w:vMerge w:val="continue"/>
            <w:shd w:val="clear" w:color="auto" w:fill="auto"/>
            <w:noWrap w:val="0"/>
            <w:vAlign w:val="center"/>
          </w:tcPr>
          <w:p>
            <w:pPr>
              <w:widowControl/>
              <w:spacing w:line="290" w:lineRule="exact"/>
              <w:jc w:val="center"/>
              <w:rPr>
                <w:rFonts w:ascii="仿宋" w:hAnsi="仿宋" w:eastAsia="仿宋" w:cs="宋体"/>
                <w:kern w:val="0"/>
                <w:sz w:val="24"/>
              </w:rPr>
            </w:pPr>
          </w:p>
        </w:tc>
        <w:tc>
          <w:tcPr>
            <w:tcW w:w="1029" w:type="dxa"/>
            <w:vMerge w:val="restart"/>
            <w:shd w:val="clear" w:color="auto" w:fill="auto"/>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线路与桥隧测量</w:t>
            </w:r>
          </w:p>
        </w:tc>
        <w:tc>
          <w:tcPr>
            <w:tcW w:w="3417"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300km以上的线路；</w:t>
            </w:r>
          </w:p>
        </w:tc>
        <w:tc>
          <w:tcPr>
            <w:tcW w:w="2414" w:type="dxa"/>
            <w:vMerge w:val="restart"/>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200km以下的线路；</w:t>
            </w:r>
          </w:p>
        </w:tc>
        <w:tc>
          <w:tcPr>
            <w:tcW w:w="2245" w:type="dxa"/>
            <w:shd w:val="clear" w:color="auto" w:fill="auto"/>
            <w:noWrap w:val="0"/>
            <w:vAlign w:val="center"/>
          </w:tcPr>
          <w:p>
            <w:pPr>
              <w:widowControl/>
              <w:spacing w:line="29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shd w:val="clear" w:color="auto" w:fill="auto"/>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17</w:t>
            </w:r>
          </w:p>
        </w:tc>
        <w:tc>
          <w:tcPr>
            <w:tcW w:w="948" w:type="dxa"/>
            <w:vMerge w:val="continue"/>
            <w:shd w:val="clear" w:color="auto" w:fill="auto"/>
            <w:noWrap w:val="0"/>
            <w:vAlign w:val="center"/>
          </w:tcPr>
          <w:p>
            <w:pPr>
              <w:widowControl/>
              <w:spacing w:line="290" w:lineRule="exact"/>
              <w:jc w:val="center"/>
              <w:rPr>
                <w:rFonts w:ascii="仿宋" w:hAnsi="仿宋" w:eastAsia="仿宋" w:cs="宋体"/>
                <w:kern w:val="0"/>
                <w:sz w:val="24"/>
              </w:rPr>
            </w:pPr>
          </w:p>
        </w:tc>
        <w:tc>
          <w:tcPr>
            <w:tcW w:w="1029" w:type="dxa"/>
            <w:vMerge w:val="continue"/>
            <w:shd w:val="clear" w:color="auto" w:fill="auto"/>
            <w:noWrap w:val="0"/>
            <w:vAlign w:val="center"/>
          </w:tcPr>
          <w:p>
            <w:pPr>
              <w:widowControl/>
              <w:spacing w:line="290" w:lineRule="exact"/>
              <w:jc w:val="center"/>
              <w:rPr>
                <w:rFonts w:ascii="仿宋" w:hAnsi="仿宋" w:eastAsia="仿宋" w:cs="宋体"/>
                <w:kern w:val="0"/>
                <w:sz w:val="24"/>
              </w:rPr>
            </w:pPr>
          </w:p>
        </w:tc>
        <w:tc>
          <w:tcPr>
            <w:tcW w:w="3417"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4km以上的隧道；</w:t>
            </w:r>
          </w:p>
        </w:tc>
        <w:tc>
          <w:tcPr>
            <w:tcW w:w="2414" w:type="dxa"/>
            <w:vMerge w:val="continue"/>
            <w:shd w:val="clear" w:color="auto" w:fill="auto"/>
            <w:noWrap w:val="0"/>
            <w:vAlign w:val="center"/>
          </w:tcPr>
          <w:p>
            <w:pPr>
              <w:widowControl/>
              <w:spacing w:line="290" w:lineRule="exact"/>
              <w:rPr>
                <w:rFonts w:ascii="仿宋" w:hAnsi="仿宋" w:eastAsia="仿宋" w:cs="宋体"/>
                <w:kern w:val="0"/>
                <w:sz w:val="24"/>
              </w:rPr>
            </w:pPr>
          </w:p>
        </w:tc>
        <w:tc>
          <w:tcPr>
            <w:tcW w:w="1990"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3km以下的隧道；</w:t>
            </w:r>
          </w:p>
        </w:tc>
        <w:tc>
          <w:tcPr>
            <w:tcW w:w="2245" w:type="dxa"/>
            <w:shd w:val="clear" w:color="auto" w:fill="auto"/>
            <w:noWrap w:val="0"/>
            <w:vAlign w:val="center"/>
          </w:tcPr>
          <w:p>
            <w:pPr>
              <w:widowControl/>
              <w:spacing w:line="29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shd w:val="clear" w:color="auto" w:fill="auto"/>
            <w:noWrap w:val="0"/>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18</w:t>
            </w:r>
          </w:p>
        </w:tc>
        <w:tc>
          <w:tcPr>
            <w:tcW w:w="948" w:type="dxa"/>
            <w:vMerge w:val="continue"/>
            <w:shd w:val="clear" w:color="auto" w:fill="auto"/>
            <w:noWrap w:val="0"/>
            <w:vAlign w:val="center"/>
          </w:tcPr>
          <w:p>
            <w:pPr>
              <w:widowControl/>
              <w:spacing w:line="290" w:lineRule="exact"/>
              <w:jc w:val="center"/>
              <w:rPr>
                <w:rFonts w:ascii="仿宋" w:hAnsi="仿宋" w:eastAsia="仿宋" w:cs="宋体"/>
                <w:kern w:val="0"/>
                <w:sz w:val="24"/>
              </w:rPr>
            </w:pPr>
          </w:p>
        </w:tc>
        <w:tc>
          <w:tcPr>
            <w:tcW w:w="1029" w:type="dxa"/>
            <w:shd w:val="clear" w:color="auto" w:fill="auto"/>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地下管线测量</w:t>
            </w:r>
          </w:p>
        </w:tc>
        <w:tc>
          <w:tcPr>
            <w:tcW w:w="3417"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管线长度300km以上</w:t>
            </w:r>
          </w:p>
        </w:tc>
        <w:tc>
          <w:tcPr>
            <w:tcW w:w="2414"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管线长度200km以下</w:t>
            </w:r>
          </w:p>
        </w:tc>
        <w:tc>
          <w:tcPr>
            <w:tcW w:w="2245" w:type="dxa"/>
            <w:shd w:val="clear" w:color="auto" w:fill="auto"/>
            <w:noWrap w:val="0"/>
            <w:vAlign w:val="center"/>
          </w:tcPr>
          <w:p>
            <w:pPr>
              <w:widowControl/>
              <w:spacing w:line="29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shd w:val="clear" w:color="auto" w:fill="auto"/>
            <w:noWrap w:val="0"/>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19</w:t>
            </w:r>
          </w:p>
        </w:tc>
        <w:tc>
          <w:tcPr>
            <w:tcW w:w="948" w:type="dxa"/>
            <w:vMerge w:val="continue"/>
            <w:shd w:val="clear" w:color="auto" w:fill="auto"/>
            <w:noWrap w:val="0"/>
            <w:vAlign w:val="center"/>
          </w:tcPr>
          <w:p>
            <w:pPr>
              <w:widowControl/>
              <w:spacing w:line="290" w:lineRule="exact"/>
              <w:jc w:val="center"/>
              <w:rPr>
                <w:rFonts w:ascii="仿宋" w:hAnsi="仿宋" w:eastAsia="仿宋" w:cs="宋体"/>
                <w:kern w:val="0"/>
                <w:sz w:val="24"/>
              </w:rPr>
            </w:pPr>
          </w:p>
        </w:tc>
        <w:tc>
          <w:tcPr>
            <w:tcW w:w="1029" w:type="dxa"/>
            <w:shd w:val="clear" w:color="auto" w:fill="auto"/>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矿山测量</w:t>
            </w:r>
          </w:p>
        </w:tc>
        <w:tc>
          <w:tcPr>
            <w:tcW w:w="3417"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矿区控制面积200km</w:t>
            </w:r>
            <w:r>
              <w:rPr>
                <w:rFonts w:hint="eastAsia" w:ascii="仿宋" w:hAnsi="仿宋" w:eastAsia="仿宋" w:cs="宋体"/>
                <w:kern w:val="0"/>
                <w:sz w:val="24"/>
                <w:vertAlign w:val="superscript"/>
              </w:rPr>
              <w:t>2</w:t>
            </w:r>
            <w:r>
              <w:rPr>
                <w:rFonts w:hint="eastAsia" w:ascii="仿宋" w:hAnsi="仿宋" w:eastAsia="仿宋" w:cs="宋体"/>
                <w:kern w:val="0"/>
                <w:sz w:val="24"/>
              </w:rPr>
              <w:t>以上</w:t>
            </w:r>
          </w:p>
        </w:tc>
        <w:tc>
          <w:tcPr>
            <w:tcW w:w="2414"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介于复杂与一般之间</w:t>
            </w:r>
          </w:p>
        </w:tc>
        <w:tc>
          <w:tcPr>
            <w:tcW w:w="1990" w:type="dxa"/>
            <w:shd w:val="clear" w:color="auto" w:fill="auto"/>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矿区控制面积100km</w:t>
            </w:r>
            <w:r>
              <w:rPr>
                <w:rFonts w:hint="eastAsia" w:ascii="仿宋" w:hAnsi="仿宋" w:eastAsia="仿宋" w:cs="宋体"/>
                <w:kern w:val="0"/>
                <w:sz w:val="24"/>
                <w:vertAlign w:val="superscript"/>
              </w:rPr>
              <w:t>2</w:t>
            </w:r>
            <w:r>
              <w:rPr>
                <w:rFonts w:hint="eastAsia" w:ascii="仿宋" w:hAnsi="仿宋" w:eastAsia="仿宋" w:cs="宋体"/>
                <w:kern w:val="0"/>
                <w:sz w:val="24"/>
              </w:rPr>
              <w:t>以下</w:t>
            </w:r>
          </w:p>
        </w:tc>
        <w:tc>
          <w:tcPr>
            <w:tcW w:w="2245" w:type="dxa"/>
            <w:shd w:val="clear" w:color="auto" w:fill="auto"/>
            <w:noWrap w:val="0"/>
            <w:vAlign w:val="center"/>
          </w:tcPr>
          <w:p>
            <w:pPr>
              <w:widowControl/>
              <w:spacing w:line="29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20</w:t>
            </w:r>
          </w:p>
        </w:tc>
        <w:tc>
          <w:tcPr>
            <w:tcW w:w="948" w:type="dxa"/>
            <w:vMerge w:val="restart"/>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测绘专业中的地理信息系统专业</w:t>
            </w:r>
          </w:p>
        </w:tc>
        <w:tc>
          <w:tcPr>
            <w:tcW w:w="1029" w:type="dxa"/>
            <w:vMerge w:val="restart"/>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地理信息数据采集</w:t>
            </w:r>
          </w:p>
        </w:tc>
        <w:tc>
          <w:tcPr>
            <w:tcW w:w="3417"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覆盖面积100平方公里以上</w:t>
            </w:r>
          </w:p>
        </w:tc>
        <w:tc>
          <w:tcPr>
            <w:tcW w:w="2414"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覆盖面积50-100平方公里</w:t>
            </w:r>
          </w:p>
        </w:tc>
        <w:tc>
          <w:tcPr>
            <w:tcW w:w="1990"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覆盖面积50平方公里以下</w:t>
            </w:r>
          </w:p>
        </w:tc>
        <w:tc>
          <w:tcPr>
            <w:tcW w:w="2245" w:type="dxa"/>
            <w:noWrap w:val="0"/>
            <w:tcMar>
              <w:top w:w="15" w:type="dxa"/>
              <w:left w:w="15" w:type="dxa"/>
              <w:bottom w:w="15" w:type="dxa"/>
              <w:right w:w="15" w:type="dxa"/>
            </w:tcMar>
            <w:vAlign w:val="center"/>
          </w:tcPr>
          <w:p>
            <w:pPr>
              <w:widowControl/>
              <w:spacing w:line="290" w:lineRule="exact"/>
              <w:rPr>
                <w:rFonts w:ascii="仿宋" w:hAnsi="仿宋" w:eastAsia="仿宋" w:cs="宋体"/>
                <w:spacing w:val="-4"/>
                <w:kern w:val="0"/>
                <w:sz w:val="24"/>
              </w:rPr>
            </w:pPr>
            <w:r>
              <w:rPr>
                <w:rFonts w:hint="eastAsia" w:ascii="仿宋" w:hAnsi="仿宋" w:eastAsia="仿宋" w:cs="宋体"/>
                <w:spacing w:val="-4"/>
                <w:kern w:val="0"/>
                <w:sz w:val="24"/>
              </w:rPr>
              <w:t>是指市政、交通、公共服务等设施的采集。基础地理空间数据的采集，如地形图测绘等，应按照测绘类工程要求进行评价。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noWrap w:val="0"/>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21</w:t>
            </w:r>
          </w:p>
        </w:tc>
        <w:tc>
          <w:tcPr>
            <w:tcW w:w="948" w:type="dxa"/>
            <w:vMerge w:val="continue"/>
            <w:noWrap w:val="0"/>
            <w:vAlign w:val="center"/>
          </w:tcPr>
          <w:p>
            <w:pPr>
              <w:widowControl/>
              <w:spacing w:line="290" w:lineRule="exact"/>
              <w:jc w:val="center"/>
              <w:rPr>
                <w:rFonts w:ascii="仿宋" w:hAnsi="仿宋" w:eastAsia="仿宋" w:cs="宋体"/>
                <w:kern w:val="0"/>
                <w:sz w:val="24"/>
              </w:rPr>
            </w:pPr>
          </w:p>
        </w:tc>
        <w:tc>
          <w:tcPr>
            <w:tcW w:w="1029" w:type="dxa"/>
            <w:vMerge w:val="continue"/>
            <w:noWrap w:val="0"/>
            <w:vAlign w:val="center"/>
          </w:tcPr>
          <w:p>
            <w:pPr>
              <w:widowControl/>
              <w:spacing w:line="290" w:lineRule="exact"/>
              <w:jc w:val="center"/>
              <w:rPr>
                <w:rFonts w:ascii="仿宋" w:hAnsi="仿宋" w:eastAsia="仿宋" w:cs="宋体"/>
                <w:kern w:val="0"/>
                <w:sz w:val="24"/>
              </w:rPr>
            </w:pPr>
          </w:p>
        </w:tc>
        <w:tc>
          <w:tcPr>
            <w:tcW w:w="3417"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覆盖面积50-100平方公里，但项目实施中开发使用了新的采集技术，如移动采集等。</w:t>
            </w:r>
          </w:p>
        </w:tc>
        <w:tc>
          <w:tcPr>
            <w:tcW w:w="2414"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覆盖面积未达到50平方公里，但项目实施中开发使用了新的采集技术，如移动采集等。</w:t>
            </w:r>
          </w:p>
        </w:tc>
        <w:tc>
          <w:tcPr>
            <w:tcW w:w="1990"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p>
        </w:tc>
        <w:tc>
          <w:tcPr>
            <w:tcW w:w="2245"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730" w:type="dxa"/>
            <w:noWrap w:val="0"/>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22</w:t>
            </w:r>
          </w:p>
        </w:tc>
        <w:tc>
          <w:tcPr>
            <w:tcW w:w="948" w:type="dxa"/>
            <w:vMerge w:val="continue"/>
            <w:noWrap w:val="0"/>
            <w:vAlign w:val="center"/>
          </w:tcPr>
          <w:p>
            <w:pPr>
              <w:widowControl/>
              <w:spacing w:line="290" w:lineRule="exact"/>
              <w:jc w:val="center"/>
              <w:rPr>
                <w:rFonts w:ascii="仿宋" w:hAnsi="仿宋" w:eastAsia="仿宋" w:cs="宋体"/>
                <w:kern w:val="0"/>
                <w:sz w:val="24"/>
              </w:rPr>
            </w:pPr>
          </w:p>
        </w:tc>
        <w:tc>
          <w:tcPr>
            <w:tcW w:w="1029" w:type="dxa"/>
            <w:noWrap w:val="0"/>
            <w:tcMar>
              <w:top w:w="15" w:type="dxa"/>
              <w:left w:w="15" w:type="dxa"/>
              <w:bottom w:w="15" w:type="dxa"/>
              <w:right w:w="15" w:type="dxa"/>
            </w:tcMar>
            <w:vAlign w:val="center"/>
          </w:tcPr>
          <w:p>
            <w:pPr>
              <w:widowControl/>
              <w:spacing w:line="290" w:lineRule="exact"/>
              <w:jc w:val="center"/>
              <w:rPr>
                <w:rFonts w:ascii="仿宋" w:hAnsi="仿宋" w:eastAsia="仿宋" w:cs="宋体"/>
                <w:kern w:val="0"/>
                <w:sz w:val="24"/>
              </w:rPr>
            </w:pPr>
            <w:r>
              <w:rPr>
                <w:rFonts w:hint="eastAsia" w:ascii="仿宋" w:hAnsi="仿宋" w:eastAsia="仿宋" w:cs="宋体"/>
                <w:kern w:val="0"/>
                <w:sz w:val="24"/>
              </w:rPr>
              <w:t>地理信息数据处理与建库</w:t>
            </w:r>
          </w:p>
        </w:tc>
        <w:tc>
          <w:tcPr>
            <w:tcW w:w="3417"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项目内容包括数据编辑处理和转换建库，面积100平方公里以上。</w:t>
            </w:r>
          </w:p>
        </w:tc>
        <w:tc>
          <w:tcPr>
            <w:tcW w:w="2414"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项目内容包括数据编辑处理和转换建库，面积50-100平方公里。</w:t>
            </w:r>
          </w:p>
        </w:tc>
        <w:tc>
          <w:tcPr>
            <w:tcW w:w="1990"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kern w:val="0"/>
                <w:sz w:val="24"/>
              </w:rPr>
              <w:t>内容仅包括数据编辑处理或内容包括数据处理和转换建库，但面积在50平方公里以下。</w:t>
            </w:r>
          </w:p>
        </w:tc>
        <w:tc>
          <w:tcPr>
            <w:tcW w:w="2245" w:type="dxa"/>
            <w:noWrap w:val="0"/>
            <w:tcMar>
              <w:top w:w="15" w:type="dxa"/>
              <w:left w:w="15" w:type="dxa"/>
              <w:bottom w:w="15" w:type="dxa"/>
              <w:right w:w="15" w:type="dxa"/>
            </w:tcMar>
            <w:vAlign w:val="center"/>
          </w:tcPr>
          <w:p>
            <w:pPr>
              <w:widowControl/>
              <w:spacing w:line="290" w:lineRule="exact"/>
              <w:rPr>
                <w:rFonts w:ascii="仿宋" w:hAnsi="仿宋" w:eastAsia="仿宋" w:cs="宋体"/>
                <w:kern w:val="0"/>
                <w:sz w:val="24"/>
              </w:rPr>
            </w:pPr>
            <w:r>
              <w:rPr>
                <w:rFonts w:hint="eastAsia" w:ascii="仿宋" w:hAnsi="仿宋" w:eastAsia="仿宋" w:cs="宋体"/>
                <w:spacing w:val="-4"/>
                <w:kern w:val="0"/>
                <w:sz w:val="24"/>
              </w:rPr>
              <w:t>是指对测绘、采集、收集或整理的地形图或地理信息数据资料（一般为CAD、Excel、文本等格式）进行处理，形成新的数据成果。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4" w:hRule="atLeast"/>
          <w:jc w:val="center"/>
        </w:trPr>
        <w:tc>
          <w:tcPr>
            <w:tcW w:w="730" w:type="dxa"/>
            <w:noWrap w:val="0"/>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23</w:t>
            </w:r>
          </w:p>
        </w:tc>
        <w:tc>
          <w:tcPr>
            <w:tcW w:w="948" w:type="dxa"/>
            <w:vMerge w:val="continue"/>
            <w:noWrap w:val="0"/>
            <w:vAlign w:val="center"/>
          </w:tcPr>
          <w:p>
            <w:pPr>
              <w:widowControl/>
              <w:spacing w:line="320" w:lineRule="exact"/>
              <w:jc w:val="center"/>
              <w:rPr>
                <w:rFonts w:ascii="仿宋" w:hAnsi="仿宋" w:eastAsia="仿宋" w:cs="宋体"/>
                <w:kern w:val="0"/>
                <w:sz w:val="24"/>
              </w:rPr>
            </w:pPr>
          </w:p>
        </w:tc>
        <w:tc>
          <w:tcPr>
            <w:tcW w:w="1029" w:type="dxa"/>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地理信息系统开发</w:t>
            </w:r>
          </w:p>
        </w:tc>
        <w:tc>
          <w:tcPr>
            <w:tcW w:w="3417" w:type="dxa"/>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市级以上的系统</w:t>
            </w:r>
          </w:p>
        </w:tc>
        <w:tc>
          <w:tcPr>
            <w:tcW w:w="2414" w:type="dxa"/>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区县级或部门级系统</w:t>
            </w:r>
          </w:p>
        </w:tc>
        <w:tc>
          <w:tcPr>
            <w:tcW w:w="1990" w:type="dxa"/>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企业级系统</w:t>
            </w:r>
          </w:p>
        </w:tc>
        <w:tc>
          <w:tcPr>
            <w:tcW w:w="2245" w:type="dxa"/>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p>
        </w:tc>
      </w:tr>
    </w:tbl>
    <w:p>
      <w:pPr>
        <w:ind w:firstLine="640" w:firstLineChars="200"/>
        <w:rPr>
          <w:rFonts w:hint="eastAsia" w:ascii="黑体" w:hAnsi="黑体" w:eastAsia="黑体"/>
        </w:rPr>
      </w:pPr>
      <w:r>
        <w:rPr>
          <w:rFonts w:hint="eastAsia" w:ascii="黑体" w:hAnsi="黑体" w:eastAsia="黑体"/>
        </w:rPr>
        <w:t>四、项目管理、检测、质量安全监督、混凝土及建筑构件部品生产、建筑机械</w:t>
      </w:r>
    </w:p>
    <w:tbl>
      <w:tblPr>
        <w:tblStyle w:val="5"/>
        <w:tblW w:w="12751" w:type="dxa"/>
        <w:jc w:val="center"/>
        <w:tblLayout w:type="fixed"/>
        <w:tblCellMar>
          <w:top w:w="0" w:type="dxa"/>
          <w:left w:w="108" w:type="dxa"/>
          <w:bottom w:w="0" w:type="dxa"/>
          <w:right w:w="108" w:type="dxa"/>
        </w:tblCellMar>
      </w:tblPr>
      <w:tblGrid>
        <w:gridCol w:w="1494"/>
        <w:gridCol w:w="3342"/>
        <w:gridCol w:w="4655"/>
        <w:gridCol w:w="3260"/>
      </w:tblGrid>
      <w:tr>
        <w:tblPrEx>
          <w:tblCellMar>
            <w:top w:w="0" w:type="dxa"/>
            <w:left w:w="108" w:type="dxa"/>
            <w:bottom w:w="0" w:type="dxa"/>
            <w:right w:w="108" w:type="dxa"/>
          </w:tblCellMar>
        </w:tblPrEx>
        <w:trPr>
          <w:trHeight w:val="340" w:hRule="atLeast"/>
          <w:tblHeader/>
          <w:jc w:val="center"/>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类别</w:t>
            </w:r>
          </w:p>
        </w:tc>
        <w:tc>
          <w:tcPr>
            <w:tcW w:w="33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复杂工程</w:t>
            </w:r>
          </w:p>
        </w:tc>
        <w:tc>
          <w:tcPr>
            <w:tcW w:w="46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中等复杂工程</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一般工程</w:t>
            </w:r>
          </w:p>
        </w:tc>
      </w:tr>
      <w:tr>
        <w:tblPrEx>
          <w:tblCellMar>
            <w:top w:w="0" w:type="dxa"/>
            <w:left w:w="108" w:type="dxa"/>
            <w:bottom w:w="0" w:type="dxa"/>
            <w:right w:w="108" w:type="dxa"/>
          </w:tblCellMar>
        </w:tblPrEx>
        <w:trPr>
          <w:trHeight w:val="340" w:hRule="atLeast"/>
          <w:jc w:val="center"/>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ascii="仿宋" w:hAnsi="仿宋" w:eastAsia="仿宋" w:cs="宋体"/>
                <w:kern w:val="0"/>
                <w:sz w:val="24"/>
              </w:rPr>
            </w:pPr>
            <w:r>
              <w:rPr>
                <w:rFonts w:hint="eastAsia" w:ascii="仿宋" w:hAnsi="仿宋" w:eastAsia="仿宋" w:cs="宋体"/>
                <w:kern w:val="0"/>
                <w:sz w:val="24"/>
              </w:rPr>
              <w:t>公路、城市道路、轨道交通、索道工程</w:t>
            </w:r>
          </w:p>
        </w:tc>
        <w:tc>
          <w:tcPr>
            <w:tcW w:w="33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1.高速工程；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2.城市地铁、轻轨；</w:t>
            </w:r>
          </w:p>
          <w:p>
            <w:pPr>
              <w:widowControl/>
              <w:spacing w:line="280" w:lineRule="exact"/>
              <w:rPr>
                <w:rFonts w:ascii="仿宋" w:hAnsi="仿宋" w:eastAsia="仿宋" w:cs="宋体"/>
                <w:kern w:val="0"/>
                <w:sz w:val="24"/>
              </w:rPr>
            </w:pPr>
            <w:r>
              <w:rPr>
                <w:rFonts w:hint="eastAsia" w:ascii="仿宋" w:hAnsi="仿宋" w:eastAsia="仿宋" w:cs="宋体"/>
                <w:kern w:val="0"/>
                <w:sz w:val="24"/>
              </w:rPr>
              <w:t>3.客（货）运索道工程。</w:t>
            </w:r>
          </w:p>
        </w:tc>
        <w:tc>
          <w:tcPr>
            <w:tcW w:w="46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1.一级公路、二级公路；</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2.高速公路的机电工程；</w:t>
            </w:r>
          </w:p>
          <w:p>
            <w:pPr>
              <w:widowControl/>
              <w:spacing w:line="280" w:lineRule="exact"/>
              <w:rPr>
                <w:rFonts w:ascii="仿宋" w:hAnsi="仿宋" w:eastAsia="仿宋" w:cs="宋体"/>
                <w:kern w:val="0"/>
                <w:sz w:val="24"/>
              </w:rPr>
            </w:pPr>
            <w:r>
              <w:rPr>
                <w:rFonts w:hint="eastAsia" w:ascii="仿宋" w:hAnsi="仿宋" w:eastAsia="仿宋" w:cs="宋体"/>
                <w:kern w:val="0"/>
                <w:sz w:val="24"/>
              </w:rPr>
              <w:t>3.城市道路、广场、停车场工程。</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1.三级、四级公路及相应的机电工程；</w:t>
            </w:r>
          </w:p>
          <w:p>
            <w:pPr>
              <w:widowControl/>
              <w:spacing w:line="280" w:lineRule="exact"/>
              <w:rPr>
                <w:rFonts w:ascii="仿宋" w:hAnsi="仿宋" w:eastAsia="仿宋" w:cs="宋体"/>
                <w:kern w:val="0"/>
                <w:sz w:val="24"/>
              </w:rPr>
            </w:pPr>
            <w:r>
              <w:rPr>
                <w:rFonts w:hint="eastAsia" w:ascii="仿宋" w:hAnsi="仿宋" w:eastAsia="仿宋" w:cs="宋体"/>
                <w:kern w:val="0"/>
                <w:sz w:val="24"/>
              </w:rPr>
              <w:t>2.一级公路、二级公路的机电工程。</w:t>
            </w:r>
          </w:p>
        </w:tc>
      </w:tr>
      <w:tr>
        <w:tblPrEx>
          <w:tblCellMar>
            <w:top w:w="0" w:type="dxa"/>
            <w:left w:w="108" w:type="dxa"/>
            <w:bottom w:w="0" w:type="dxa"/>
            <w:right w:w="108" w:type="dxa"/>
          </w:tblCellMar>
        </w:tblPrEx>
        <w:trPr>
          <w:trHeight w:val="340" w:hRule="atLeast"/>
          <w:jc w:val="center"/>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ascii="仿宋" w:hAnsi="仿宋" w:eastAsia="仿宋" w:cs="宋体"/>
                <w:kern w:val="0"/>
                <w:sz w:val="24"/>
              </w:rPr>
            </w:pPr>
            <w:r>
              <w:rPr>
                <w:rFonts w:hint="eastAsia" w:ascii="仿宋" w:hAnsi="仿宋" w:eastAsia="仿宋" w:cs="宋体"/>
                <w:kern w:val="0"/>
                <w:sz w:val="24"/>
              </w:rPr>
              <w:t>公路桥梁、城市桥梁、隧道工程</w:t>
            </w:r>
          </w:p>
        </w:tc>
        <w:tc>
          <w:tcPr>
            <w:tcW w:w="33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1.主跨≥250m拱桥，单跨≥250m，预应力混凝土连续结构，≥400m斜拉桥，≥800m悬索桥；</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2.连拱隧道、水底隧道、长度≥3000m的隧道工程；</w:t>
            </w:r>
          </w:p>
          <w:p>
            <w:pPr>
              <w:widowControl/>
              <w:spacing w:line="280" w:lineRule="exact"/>
              <w:rPr>
                <w:rFonts w:ascii="仿宋" w:hAnsi="仿宋" w:eastAsia="仿宋" w:cs="宋体"/>
                <w:kern w:val="0"/>
                <w:sz w:val="24"/>
              </w:rPr>
            </w:pPr>
            <w:r>
              <w:rPr>
                <w:rFonts w:hint="eastAsia" w:ascii="仿宋" w:hAnsi="仿宋" w:eastAsia="仿宋" w:cs="宋体"/>
                <w:kern w:val="0"/>
                <w:sz w:val="24"/>
              </w:rPr>
              <w:t>3.城市互通式立交桥。</w:t>
            </w:r>
          </w:p>
        </w:tc>
        <w:tc>
          <w:tcPr>
            <w:tcW w:w="46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1.总长≥1000m或150m≤单孔跨径＜250m的公路桥梁；</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2.1000m≤长度＜3000m的隧道工程；</w:t>
            </w:r>
          </w:p>
          <w:p>
            <w:pPr>
              <w:widowControl/>
              <w:spacing w:line="280" w:lineRule="exact"/>
              <w:rPr>
                <w:rFonts w:ascii="仿宋" w:hAnsi="仿宋" w:eastAsia="仿宋" w:cs="宋体"/>
                <w:kern w:val="0"/>
                <w:sz w:val="24"/>
              </w:rPr>
            </w:pPr>
            <w:r>
              <w:rPr>
                <w:rFonts w:hint="eastAsia" w:ascii="仿宋" w:hAnsi="仿宋" w:eastAsia="仿宋" w:cs="宋体"/>
                <w:kern w:val="0"/>
                <w:sz w:val="24"/>
              </w:rPr>
              <w:t>3.3.1000m≥多孔跨径≥500m，250m≥单跨跨径≥100m的城市桥梁，分离式立交桥、地下通道工程。</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1.总长＜1000m或单孔跨径＜150m的公路桥梁；</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2.长度＜1000m的隧道工程；</w:t>
            </w:r>
          </w:p>
          <w:p>
            <w:pPr>
              <w:widowControl/>
              <w:spacing w:line="280" w:lineRule="exact"/>
              <w:rPr>
                <w:rFonts w:ascii="仿宋" w:hAnsi="仿宋" w:eastAsia="仿宋" w:cs="宋体"/>
                <w:kern w:val="0"/>
                <w:sz w:val="24"/>
              </w:rPr>
            </w:pPr>
            <w:r>
              <w:rPr>
                <w:rFonts w:hint="eastAsia" w:ascii="仿宋" w:hAnsi="仿宋" w:eastAsia="仿宋" w:cs="宋体"/>
                <w:kern w:val="0"/>
                <w:sz w:val="24"/>
              </w:rPr>
              <w:t>3.人行天桥、涵洞工程</w:t>
            </w:r>
          </w:p>
        </w:tc>
      </w:tr>
      <w:tr>
        <w:tblPrEx>
          <w:tblCellMar>
            <w:top w:w="0" w:type="dxa"/>
            <w:left w:w="108" w:type="dxa"/>
            <w:bottom w:w="0" w:type="dxa"/>
            <w:right w:w="108" w:type="dxa"/>
          </w:tblCellMar>
        </w:tblPrEx>
        <w:trPr>
          <w:trHeight w:val="340" w:hRule="atLeast"/>
          <w:jc w:val="center"/>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ascii="仿宋" w:hAnsi="仿宋" w:eastAsia="仿宋" w:cs="宋体"/>
                <w:kern w:val="0"/>
                <w:sz w:val="24"/>
              </w:rPr>
            </w:pPr>
            <w:r>
              <w:rPr>
                <w:rFonts w:hint="eastAsia" w:ascii="仿宋" w:hAnsi="仿宋" w:eastAsia="仿宋" w:cs="宋体"/>
                <w:kern w:val="0"/>
                <w:sz w:val="24"/>
              </w:rPr>
              <w:t>建筑、人防工程</w:t>
            </w:r>
          </w:p>
        </w:tc>
        <w:tc>
          <w:tcPr>
            <w:tcW w:w="33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1.高度≥50m的公共建筑工程，或跨度≥36m的厂房和仓储建筑工程；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2.高标准的古建筑、保护性建筑；</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3.防护级别为四级以上的人防建筑；</w:t>
            </w:r>
          </w:p>
          <w:p>
            <w:pPr>
              <w:widowControl/>
              <w:spacing w:line="280" w:lineRule="exact"/>
              <w:rPr>
                <w:rFonts w:ascii="仿宋" w:hAnsi="仿宋" w:eastAsia="仿宋" w:cs="宋体"/>
                <w:kern w:val="0"/>
                <w:sz w:val="24"/>
              </w:rPr>
            </w:pPr>
            <w:r>
              <w:rPr>
                <w:rFonts w:hint="eastAsia" w:ascii="仿宋" w:hAnsi="仿宋" w:eastAsia="仿宋" w:cs="宋体"/>
                <w:kern w:val="0"/>
                <w:sz w:val="24"/>
              </w:rPr>
              <w:t>4.高度≥120m的高耸建筑。</w:t>
            </w:r>
          </w:p>
        </w:tc>
        <w:tc>
          <w:tcPr>
            <w:tcW w:w="46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1.24m≤高度＜50m的公共建筑和住宅工程；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2.24m≤跨度＜36m厂房和仓储建筑工程；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3.高度≥24m的住宅工程；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仿古建筑，一般标准的古建筑、保护性建筑以及地下建筑工程；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5.装饰、装修工程；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6.防护级别为四级及以下的人防工程；</w:t>
            </w:r>
          </w:p>
          <w:p>
            <w:pPr>
              <w:widowControl/>
              <w:spacing w:line="280" w:lineRule="exact"/>
              <w:rPr>
                <w:rFonts w:ascii="仿宋" w:hAnsi="仿宋" w:eastAsia="仿宋" w:cs="宋体"/>
                <w:kern w:val="0"/>
                <w:sz w:val="24"/>
              </w:rPr>
            </w:pPr>
            <w:r>
              <w:rPr>
                <w:rFonts w:hint="eastAsia" w:ascii="仿宋" w:hAnsi="仿宋" w:eastAsia="仿宋" w:cs="宋体"/>
                <w:kern w:val="0"/>
                <w:sz w:val="24"/>
              </w:rPr>
              <w:t>7.70m≤高度＜120m的高耸建筑。</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1.高度＜24m的公共建筑和住宅工程；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2.跨度＜24m的厂房和仓储建筑工程；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3.室外工程及简单的配套用房；</w:t>
            </w:r>
          </w:p>
          <w:p>
            <w:pPr>
              <w:widowControl/>
              <w:spacing w:line="280" w:lineRule="exact"/>
              <w:rPr>
                <w:rFonts w:ascii="仿宋" w:hAnsi="仿宋" w:eastAsia="仿宋" w:cs="宋体"/>
                <w:kern w:val="0"/>
                <w:sz w:val="24"/>
              </w:rPr>
            </w:pPr>
            <w:r>
              <w:rPr>
                <w:rFonts w:hint="eastAsia" w:ascii="仿宋" w:hAnsi="仿宋" w:eastAsia="仿宋" w:cs="宋体"/>
                <w:kern w:val="0"/>
                <w:sz w:val="24"/>
              </w:rPr>
              <w:t>4.高度＜70m的高耸构筑物。</w:t>
            </w:r>
          </w:p>
        </w:tc>
      </w:tr>
      <w:tr>
        <w:tblPrEx>
          <w:tblCellMar>
            <w:top w:w="0" w:type="dxa"/>
            <w:left w:w="108" w:type="dxa"/>
            <w:bottom w:w="0" w:type="dxa"/>
            <w:right w:w="108" w:type="dxa"/>
          </w:tblCellMar>
        </w:tblPrEx>
        <w:trPr>
          <w:trHeight w:val="340" w:hRule="atLeast"/>
          <w:jc w:val="center"/>
        </w:trPr>
        <w:tc>
          <w:tcPr>
            <w:tcW w:w="149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ascii="仿宋" w:hAnsi="仿宋" w:eastAsia="仿宋" w:cs="宋体"/>
                <w:kern w:val="0"/>
                <w:sz w:val="24"/>
              </w:rPr>
            </w:pPr>
            <w:r>
              <w:rPr>
                <w:rFonts w:hint="eastAsia" w:ascii="仿宋" w:hAnsi="仿宋" w:eastAsia="仿宋" w:cs="宋体"/>
                <w:kern w:val="0"/>
                <w:sz w:val="24"/>
              </w:rPr>
              <w:t>市政公用、园林绿化工程</w:t>
            </w:r>
          </w:p>
        </w:tc>
        <w:tc>
          <w:tcPr>
            <w:tcW w:w="3342"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ascii="仿宋" w:hAnsi="仿宋" w:eastAsia="仿宋" w:cs="宋体"/>
                <w:kern w:val="0"/>
                <w:sz w:val="24"/>
              </w:rPr>
              <w:t>1.≥3m</w:t>
            </w:r>
            <w:r>
              <w:rPr>
                <w:rFonts w:hint="eastAsia" w:ascii="仿宋" w:hAnsi="仿宋" w:eastAsia="仿宋" w:cs="宋体"/>
                <w:kern w:val="0"/>
                <w:sz w:val="24"/>
              </w:rPr>
              <w:t>³</w:t>
            </w:r>
            <w:r>
              <w:rPr>
                <w:rFonts w:ascii="仿宋" w:hAnsi="仿宋" w:eastAsia="仿宋" w:cs="宋体"/>
                <w:kern w:val="0"/>
                <w:sz w:val="24"/>
              </w:rPr>
              <w:t>/s的给水、污水泵站；≥10万吨/日给水厂工程，≥5万吨/日污水处理厂工程；</w:t>
            </w:r>
          </w:p>
          <w:p>
            <w:pPr>
              <w:widowControl/>
              <w:spacing w:line="280" w:lineRule="exact"/>
              <w:rPr>
                <w:rFonts w:hint="eastAsia" w:ascii="仿宋" w:hAnsi="仿宋" w:eastAsia="仿宋" w:cs="宋体"/>
                <w:kern w:val="0"/>
                <w:sz w:val="24"/>
              </w:rPr>
            </w:pPr>
            <w:r>
              <w:rPr>
                <w:rFonts w:ascii="仿宋" w:hAnsi="仿宋" w:eastAsia="仿宋" w:cs="宋体"/>
                <w:kern w:val="0"/>
                <w:sz w:val="24"/>
              </w:rPr>
              <w:t>2.城市高压燃气管网（站），≥1000m</w:t>
            </w:r>
            <w:r>
              <w:rPr>
                <w:rFonts w:hint="eastAsia" w:ascii="仿宋" w:hAnsi="仿宋" w:eastAsia="仿宋" w:cs="宋体"/>
                <w:kern w:val="0"/>
                <w:sz w:val="24"/>
              </w:rPr>
              <w:t>³</w:t>
            </w:r>
            <w:r>
              <w:rPr>
                <w:rFonts w:ascii="仿宋" w:hAnsi="仿宋" w:eastAsia="仿宋" w:cs="宋体"/>
                <w:kern w:val="0"/>
                <w:sz w:val="24"/>
              </w:rPr>
              <w:t>液化气贮罐场（站）；</w:t>
            </w:r>
          </w:p>
          <w:p>
            <w:pPr>
              <w:widowControl/>
              <w:spacing w:line="280" w:lineRule="exact"/>
              <w:rPr>
                <w:rFonts w:hint="eastAsia" w:ascii="仿宋" w:hAnsi="仿宋" w:eastAsia="仿宋" w:cs="宋体"/>
                <w:kern w:val="0"/>
                <w:sz w:val="24"/>
              </w:rPr>
            </w:pPr>
            <w:r>
              <w:rPr>
                <w:rFonts w:ascii="仿宋" w:hAnsi="仿宋" w:eastAsia="仿宋" w:cs="宋体"/>
                <w:kern w:val="0"/>
                <w:sz w:val="24"/>
              </w:rPr>
              <w:t>3.垃圾焚烧工程；</w:t>
            </w:r>
          </w:p>
          <w:p>
            <w:pPr>
              <w:widowControl/>
              <w:spacing w:line="280" w:lineRule="exact"/>
              <w:rPr>
                <w:rFonts w:ascii="仿宋" w:hAnsi="仿宋" w:eastAsia="仿宋" w:cs="宋体"/>
                <w:kern w:val="0"/>
                <w:sz w:val="24"/>
              </w:rPr>
            </w:pPr>
            <w:r>
              <w:rPr>
                <w:rFonts w:ascii="仿宋" w:hAnsi="仿宋" w:eastAsia="仿宋" w:cs="宋体"/>
                <w:kern w:val="0"/>
                <w:sz w:val="24"/>
              </w:rPr>
              <w:t>4.海底排污管线，海水取排水、淡化及处理工程。</w:t>
            </w:r>
          </w:p>
        </w:tc>
        <w:tc>
          <w:tcPr>
            <w:tcW w:w="465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ascii="仿宋" w:hAnsi="仿宋" w:eastAsia="仿宋" w:cs="宋体"/>
                <w:kern w:val="0"/>
                <w:sz w:val="24"/>
              </w:rPr>
              <w:t>1.DN≥1.0m的给排水地下管线工程；＜3m</w:t>
            </w:r>
            <w:r>
              <w:rPr>
                <w:rFonts w:hint="eastAsia" w:ascii="仿宋" w:hAnsi="仿宋" w:eastAsia="仿宋" w:cs="宋体"/>
                <w:kern w:val="0"/>
                <w:sz w:val="24"/>
              </w:rPr>
              <w:t>³</w:t>
            </w:r>
            <w:r>
              <w:rPr>
                <w:rFonts w:ascii="仿宋" w:hAnsi="仿宋" w:eastAsia="仿宋" w:cs="宋体"/>
                <w:kern w:val="0"/>
                <w:sz w:val="24"/>
              </w:rPr>
              <w:t>/s的给水、污水泵站；＜10万吨/日给水厂工程，＜5万吨/日污水处理厂工程；</w:t>
            </w:r>
          </w:p>
          <w:p>
            <w:pPr>
              <w:widowControl/>
              <w:spacing w:line="280" w:lineRule="exact"/>
              <w:rPr>
                <w:rFonts w:hint="eastAsia" w:ascii="仿宋" w:hAnsi="仿宋" w:eastAsia="仿宋" w:cs="宋体"/>
                <w:kern w:val="0"/>
                <w:sz w:val="24"/>
              </w:rPr>
            </w:pPr>
            <w:r>
              <w:rPr>
                <w:rFonts w:ascii="仿宋" w:hAnsi="仿宋" w:eastAsia="仿宋" w:cs="宋体"/>
                <w:kern w:val="0"/>
                <w:sz w:val="24"/>
              </w:rPr>
              <w:t>2.城市中、低压燃气管网（站），＜1000m</w:t>
            </w:r>
            <w:r>
              <w:rPr>
                <w:rFonts w:hint="eastAsia" w:ascii="仿宋" w:hAnsi="仿宋" w:eastAsia="仿宋" w:cs="宋体"/>
                <w:kern w:val="0"/>
                <w:sz w:val="24"/>
              </w:rPr>
              <w:t>³</w:t>
            </w:r>
            <w:r>
              <w:rPr>
                <w:rFonts w:ascii="仿宋" w:hAnsi="仿宋" w:eastAsia="仿宋" w:cs="宋体"/>
                <w:kern w:val="0"/>
                <w:sz w:val="24"/>
              </w:rPr>
              <w:t>液化气贮罐场（站）；</w:t>
            </w:r>
          </w:p>
          <w:p>
            <w:pPr>
              <w:widowControl/>
              <w:spacing w:line="280" w:lineRule="exact"/>
              <w:rPr>
                <w:rFonts w:hint="eastAsia" w:ascii="仿宋" w:hAnsi="仿宋" w:eastAsia="仿宋" w:cs="宋体"/>
                <w:kern w:val="0"/>
                <w:sz w:val="24"/>
              </w:rPr>
            </w:pPr>
            <w:r>
              <w:rPr>
                <w:rFonts w:ascii="仿宋" w:hAnsi="仿宋" w:eastAsia="仿宋" w:cs="宋体"/>
                <w:kern w:val="0"/>
                <w:sz w:val="24"/>
              </w:rPr>
              <w:t>3.锅炉房，城市供热管网工程，≥2MK换热站工程；</w:t>
            </w:r>
          </w:p>
          <w:p>
            <w:pPr>
              <w:widowControl/>
              <w:spacing w:line="280" w:lineRule="exact"/>
              <w:rPr>
                <w:rFonts w:hint="eastAsia" w:ascii="仿宋" w:hAnsi="仿宋" w:eastAsia="仿宋" w:cs="宋体"/>
                <w:kern w:val="0"/>
                <w:sz w:val="24"/>
              </w:rPr>
            </w:pPr>
            <w:r>
              <w:rPr>
                <w:rFonts w:ascii="仿宋" w:hAnsi="仿宋" w:eastAsia="仿宋" w:cs="宋体"/>
                <w:kern w:val="0"/>
                <w:sz w:val="24"/>
              </w:rPr>
              <w:t>4.≥100t/日的垃圾中转站，垃圾填埋工程；</w:t>
            </w:r>
          </w:p>
          <w:p>
            <w:pPr>
              <w:widowControl/>
              <w:spacing w:line="280" w:lineRule="exact"/>
              <w:rPr>
                <w:rFonts w:ascii="仿宋" w:hAnsi="仿宋" w:eastAsia="仿宋" w:cs="宋体"/>
                <w:kern w:val="0"/>
                <w:sz w:val="24"/>
              </w:rPr>
            </w:pPr>
            <w:r>
              <w:rPr>
                <w:rFonts w:ascii="仿宋" w:hAnsi="仿宋" w:eastAsia="仿宋" w:cs="宋体"/>
                <w:kern w:val="0"/>
                <w:sz w:val="24"/>
              </w:rPr>
              <w:t>5.园林绿化工程。</w:t>
            </w:r>
          </w:p>
        </w:tc>
        <w:tc>
          <w:tcPr>
            <w:tcW w:w="32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1.DN≤1.0m的给排水地下管线工程；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2.小区内燃气管道工程；</w:t>
            </w:r>
          </w:p>
          <w:p>
            <w:pPr>
              <w:widowControl/>
              <w:spacing w:line="280" w:lineRule="exact"/>
              <w:rPr>
                <w:rFonts w:hint="eastAsia" w:ascii="仿宋" w:hAnsi="仿宋" w:eastAsia="仿宋" w:cs="宋体"/>
                <w:kern w:val="0"/>
                <w:sz w:val="24"/>
              </w:rPr>
            </w:pPr>
            <w:r>
              <w:rPr>
                <w:rFonts w:hint="eastAsia" w:ascii="仿宋" w:hAnsi="仿宋" w:eastAsia="仿宋" w:cs="宋体"/>
                <w:kern w:val="0"/>
                <w:sz w:val="24"/>
              </w:rPr>
              <w:t>3.小区供热管网工程，＜2MK换热站工程；</w:t>
            </w:r>
          </w:p>
          <w:p>
            <w:pPr>
              <w:widowControl/>
              <w:spacing w:line="280" w:lineRule="exact"/>
              <w:rPr>
                <w:rFonts w:ascii="仿宋" w:hAnsi="仿宋" w:eastAsia="仿宋" w:cs="宋体"/>
                <w:kern w:val="0"/>
                <w:sz w:val="24"/>
              </w:rPr>
            </w:pPr>
            <w:r>
              <w:rPr>
                <w:rFonts w:hint="eastAsia" w:ascii="仿宋" w:hAnsi="仿宋" w:eastAsia="仿宋" w:cs="宋体"/>
                <w:kern w:val="0"/>
                <w:sz w:val="24"/>
              </w:rPr>
              <w:t>4.小型垃圾中转站，简易堆肥工程。</w:t>
            </w:r>
          </w:p>
        </w:tc>
      </w:tr>
    </w:tbl>
    <w:p>
      <w:pPr>
        <w:ind w:firstLine="640" w:firstLineChars="200"/>
        <w:rPr>
          <w:rFonts w:hint="eastAsia" w:ascii="黑体" w:hAnsi="黑体" w:eastAsia="黑体"/>
        </w:rPr>
      </w:pPr>
      <w:r>
        <w:rPr>
          <w:rFonts w:hint="eastAsia" w:ascii="黑体" w:hAnsi="黑体" w:eastAsia="黑体"/>
        </w:rPr>
        <w:t>五、造价管理</w:t>
      </w:r>
    </w:p>
    <w:tbl>
      <w:tblPr>
        <w:tblStyle w:val="5"/>
        <w:tblW w:w="12735" w:type="dxa"/>
        <w:jc w:val="center"/>
        <w:tblLayout w:type="fixed"/>
        <w:tblCellMar>
          <w:top w:w="0" w:type="dxa"/>
          <w:left w:w="108" w:type="dxa"/>
          <w:bottom w:w="0" w:type="dxa"/>
          <w:right w:w="108" w:type="dxa"/>
        </w:tblCellMar>
      </w:tblPr>
      <w:tblGrid>
        <w:gridCol w:w="651"/>
        <w:gridCol w:w="1316"/>
        <w:gridCol w:w="7608"/>
        <w:gridCol w:w="3160"/>
      </w:tblGrid>
      <w:tr>
        <w:tblPrEx>
          <w:tblCellMar>
            <w:top w:w="0" w:type="dxa"/>
            <w:left w:w="108" w:type="dxa"/>
            <w:bottom w:w="0" w:type="dxa"/>
            <w:right w:w="108" w:type="dxa"/>
          </w:tblCellMar>
        </w:tblPrEx>
        <w:trPr>
          <w:cantSplit/>
          <w:trHeight w:val="454" w:hRule="atLeast"/>
          <w:jc w:val="center"/>
        </w:trPr>
        <w:tc>
          <w:tcPr>
            <w:tcW w:w="6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序号</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类别</w:t>
            </w:r>
          </w:p>
        </w:tc>
        <w:tc>
          <w:tcPr>
            <w:tcW w:w="760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政府类工程</w:t>
            </w:r>
          </w:p>
        </w:tc>
        <w:tc>
          <w:tcPr>
            <w:tcW w:w="31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企业类工程</w:t>
            </w:r>
          </w:p>
        </w:tc>
      </w:tr>
      <w:tr>
        <w:tblPrEx>
          <w:tblCellMar>
            <w:top w:w="0" w:type="dxa"/>
            <w:left w:w="108" w:type="dxa"/>
            <w:bottom w:w="0" w:type="dxa"/>
            <w:right w:w="108" w:type="dxa"/>
          </w:tblCellMar>
        </w:tblPrEx>
        <w:trPr>
          <w:cantSplit/>
          <w:trHeight w:val="454" w:hRule="atLeast"/>
          <w:jc w:val="center"/>
        </w:trPr>
        <w:tc>
          <w:tcPr>
            <w:tcW w:w="6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1</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以具体项目为主的业绩</w:t>
            </w:r>
          </w:p>
        </w:tc>
        <w:tc>
          <w:tcPr>
            <w:tcW w:w="7608" w:type="dxa"/>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政府类工程项目指的是县级以上人民政府利用一般公共预算、政府性基金预算、国有资本经营预算中安排资金所进行的固定资产投资项目。对于国企项目，可按是否进入可行性研究审批程序作判断，如平台性国企承担建设任务的教育、公共基础设施等项目，都属于政府类项目（理解为政府购买服务项目）。对于地铁项目，以及做地主体自筹资金的配套市政项目，统一划定为企业类项目。</w:t>
            </w:r>
          </w:p>
        </w:tc>
        <w:tc>
          <w:tcPr>
            <w:tcW w:w="316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企业类工程指项目立项按核准或备案程序的，或不能认定为政府类工程的，应认定为企业类项目。</w:t>
            </w:r>
          </w:p>
        </w:tc>
      </w:tr>
      <w:tr>
        <w:tblPrEx>
          <w:tblCellMar>
            <w:top w:w="0" w:type="dxa"/>
            <w:left w:w="108" w:type="dxa"/>
            <w:bottom w:w="0" w:type="dxa"/>
            <w:right w:w="108" w:type="dxa"/>
          </w:tblCellMar>
        </w:tblPrEx>
        <w:trPr>
          <w:cantSplit/>
          <w:trHeight w:val="454" w:hRule="atLeast"/>
          <w:jc w:val="center"/>
        </w:trPr>
        <w:tc>
          <w:tcPr>
            <w:tcW w:w="65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jc w:val="center"/>
              <w:rPr>
                <w:rFonts w:ascii="仿宋" w:hAnsi="仿宋" w:eastAsia="仿宋" w:cs="宋体"/>
                <w:kern w:val="0"/>
                <w:sz w:val="24"/>
              </w:rPr>
            </w:pPr>
            <w:r>
              <w:rPr>
                <w:rFonts w:hint="eastAsia" w:ascii="仿宋" w:hAnsi="仿宋" w:eastAsia="仿宋" w:cs="宋体"/>
                <w:kern w:val="0"/>
                <w:sz w:val="24"/>
              </w:rPr>
              <w:t>2</w:t>
            </w:r>
          </w:p>
        </w:tc>
        <w:tc>
          <w:tcPr>
            <w:tcW w:w="1316"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以起草部门规章，规范性文件等为主的业绩</w:t>
            </w:r>
          </w:p>
        </w:tc>
        <w:tc>
          <w:tcPr>
            <w:tcW w:w="1076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spacing w:line="320" w:lineRule="exact"/>
              <w:rPr>
                <w:rFonts w:ascii="仿宋" w:hAnsi="仿宋" w:eastAsia="仿宋" w:cs="宋体"/>
                <w:kern w:val="0"/>
                <w:sz w:val="24"/>
              </w:rPr>
            </w:pPr>
            <w:r>
              <w:rPr>
                <w:rFonts w:hint="eastAsia" w:ascii="仿宋" w:hAnsi="仿宋" w:eastAsia="仿宋" w:cs="宋体"/>
                <w:kern w:val="0"/>
                <w:sz w:val="24"/>
              </w:rPr>
              <w:t>1、部门规章级别的（包括地方性法规），按照30分/项（牵头部门的主要起草人），20分/项（参与起草）；一般规范性文件的，按照20分/项（牵头部门的主要起草人），10分/项（参与起草）；其余不予计分。</w:t>
            </w:r>
          </w:p>
          <w:p>
            <w:pPr>
              <w:widowControl/>
              <w:spacing w:line="320" w:lineRule="exact"/>
              <w:rPr>
                <w:rFonts w:hint="eastAsia" w:ascii="仿宋" w:hAnsi="仿宋" w:eastAsia="仿宋" w:cs="宋体"/>
                <w:kern w:val="0"/>
                <w:sz w:val="24"/>
              </w:rPr>
            </w:pPr>
            <w:r>
              <w:rPr>
                <w:rFonts w:hint="eastAsia" w:ascii="仿宋" w:hAnsi="仿宋" w:eastAsia="仿宋" w:cs="宋体"/>
                <w:kern w:val="0"/>
                <w:sz w:val="24"/>
              </w:rPr>
              <w:t>2、申报高级职称，以撰写部门规章、规范性文件为业绩的，不少于1项业绩为部门规章（包括地方性法规）。</w:t>
            </w:r>
          </w:p>
          <w:p>
            <w:pPr>
              <w:widowControl/>
              <w:spacing w:line="320" w:lineRule="exact"/>
              <w:rPr>
                <w:rFonts w:ascii="仿宋" w:hAnsi="仿宋" w:eastAsia="仿宋" w:cs="宋体"/>
                <w:kern w:val="0"/>
                <w:sz w:val="24"/>
              </w:rPr>
            </w:pPr>
            <w:r>
              <w:rPr>
                <w:rFonts w:hint="eastAsia" w:ascii="仿宋" w:hAnsi="仿宋" w:eastAsia="仿宋" w:cs="宋体"/>
                <w:kern w:val="0"/>
                <w:sz w:val="24"/>
              </w:rPr>
              <w:t xml:space="preserve">3、申报高级职称，以撰写部门规章、规范性文件为业绩的，申报人应为实际承担撰写工作的人，不包含参加征求意见会或听证等。 </w:t>
            </w:r>
          </w:p>
        </w:tc>
      </w:tr>
    </w:tbl>
    <w:p>
      <w:pPr>
        <w:rPr>
          <w:rFonts w:hint="eastAsia" w:ascii="仿宋" w:hAnsi="仿宋" w:eastAsia="仿宋"/>
          <w:sz w:val="28"/>
          <w:szCs w:val="28"/>
        </w:rPr>
      </w:pPr>
      <w:r>
        <w:rPr>
          <w:rFonts w:hint="eastAsia" w:ascii="仿宋" w:hAnsi="仿宋" w:eastAsia="仿宋" w:cs="仿宋"/>
          <w:color w:val="000000"/>
          <w:sz w:val="28"/>
          <w:szCs w:val="28"/>
        </w:rPr>
        <w:t>注：部分专业未单独制定复杂程度说明，依托于所在工程的复杂程度。</w:t>
      </w:r>
    </w:p>
    <w:p>
      <w:pPr>
        <w:rPr>
          <w:rFonts w:hint="eastAsia" w:ascii="仿宋" w:hAnsi="仿宋" w:eastAsia="仿宋"/>
        </w:rPr>
      </w:pPr>
    </w:p>
    <w:p>
      <w:pPr>
        <w:rPr>
          <w:rFonts w:ascii="仿宋" w:hAnsi="仿宋" w:eastAsia="仿宋"/>
        </w:rPr>
        <w:sectPr>
          <w:pgSz w:w="16840" w:h="11907" w:orient="landscape"/>
          <w:pgMar w:top="1531" w:right="2041" w:bottom="1531" w:left="2041" w:header="851" w:footer="1191" w:gutter="0"/>
          <w:pgNumType w:fmt="numberInDash"/>
          <w:cols w:space="425" w:num="1"/>
          <w:docGrid w:type="lines" w:linePitch="578" w:charSpace="-842"/>
        </w:sect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ind w:left="1097" w:leftChars="87" w:right="306" w:rightChars="97" w:hanging="823" w:hangingChars="298"/>
        <w:rPr>
          <w:rFonts w:hint="eastAsia" w:ascii="仿宋" w:hAnsi="仿宋" w:eastAsia="仿宋"/>
        </w:rPr>
      </w:pPr>
      <w:r>
        <w:rPr>
          <w:rFonts w:hint="eastAsia"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15940" cy="0"/>
                <wp:effectExtent l="0" t="0" r="0" b="0"/>
                <wp:wrapNone/>
                <wp:docPr id="1" name="直线 5"/>
                <wp:cNvGraphicFramePr/>
                <a:graphic xmlns:a="http://schemas.openxmlformats.org/drawingml/2006/main">
                  <a:graphicData uri="http://schemas.microsoft.com/office/word/2010/wordprocessingShape">
                    <wps:wsp>
                      <wps:cNvCnPr/>
                      <wps:spPr>
                        <a:xfrm>
                          <a:off x="0" y="0"/>
                          <a:ext cx="5615940" cy="0"/>
                        </a:xfrm>
                        <a:prstGeom prst="line">
                          <a:avLst/>
                        </a:prstGeom>
                        <a:ln w="126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0pt;height:0pt;width:442.2pt;z-index:251659264;mso-width-relative:page;mso-height-relative:page;" filled="f" stroked="t" coordsize="21600,21600" o:gfxdata="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y6K/V0gAAAAIB&#10;AAAPAAAAAAAAAAEAIAAAACIAAABkcnMvZG93bnJldi54bWxQSwECFAAUAAAACACHTuJAvd1pz+gB&#10;AADcAwAADgAAAAAAAAABACAAAAAhAQAAZHJzL2Uyb0RvYy54bWxQSwUGAAAAAAYABgBZAQAAewUA&#10;AAAA&#10;">
                <v:fill on="f" focussize="0,0"/>
                <v:stroke weight="0.992125984251969pt" color="#000000" joinstyle="round"/>
                <v:imagedata o:title=""/>
                <o:lock v:ext="edit" aspectratio="f"/>
              </v:line>
            </w:pict>
          </mc:Fallback>
        </mc:AlternateContent>
      </w: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367030</wp:posOffset>
                </wp:positionV>
                <wp:extent cx="5615940" cy="0"/>
                <wp:effectExtent l="0" t="0" r="0" b="0"/>
                <wp:wrapNone/>
                <wp:docPr id="2" name="直线 6"/>
                <wp:cNvGraphicFramePr/>
                <a:graphic xmlns:a="http://schemas.openxmlformats.org/drawingml/2006/main">
                  <a:graphicData uri="http://schemas.microsoft.com/office/word/2010/wordprocessingShape">
                    <wps:wsp>
                      <wps:cNvCnPr/>
                      <wps:spPr>
                        <a:xfrm>
                          <a:off x="0" y="0"/>
                          <a:ext cx="5615940" cy="0"/>
                        </a:xfrm>
                        <a:prstGeom prst="line">
                          <a:avLst/>
                        </a:prstGeom>
                        <a:ln w="1260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28.9pt;height:0pt;width:442.2pt;z-index:251660288;mso-width-relative:page;mso-height-relative:page;" filled="f" stroked="t" coordsize="21600,21600" o:gfxdata="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fQb81QAA&#10;AAYBAAAPAAAAAAAAAAEAIAAAACIAAABkcnMvZG93bnJldi54bWxQSwECFAAUAAAACACHTuJAOo+l&#10;RegBAADcAwAADgAAAAAAAAABACAAAAAkAQAAZHJzL2Uyb0RvYy54bWxQSwUGAAAAAAYABgBZAQAA&#10;fgUAAAAA&#10;">
                <v:fill on="f" focussize="0,0"/>
                <v:stroke weight="0.992125984251969pt" color="#000000" joinstyle="round"/>
                <v:imagedata o:title=""/>
                <o:lock v:ext="edit" aspectratio="f"/>
              </v:line>
            </w:pict>
          </mc:Fallback>
        </mc:AlternateContent>
      </w:r>
      <w:r>
        <w:rPr>
          <w:rFonts w:hint="eastAsia" w:ascii="仿宋" w:hAnsi="仿宋" w:eastAsia="仿宋"/>
          <w:sz w:val="28"/>
          <w:szCs w:val="28"/>
        </w:rPr>
        <w:t>杭州市城乡建设委员会办公室               2021年6月30日印发</w:t>
      </w:r>
    </w:p>
    <w:sectPr>
      <w:pgSz w:w="11907" w:h="16840"/>
      <w:pgMar w:top="2041" w:right="1531" w:bottom="2041" w:left="1531" w:header="851" w:footer="1644" w:gutter="0"/>
      <w:pgNumType w:fmt="numberInDash"/>
      <w:cols w:space="425" w:num="1"/>
      <w:titlePg/>
      <w:docGrid w:type="linesAndChars" w:linePitch="578"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小标宋">
    <w:altName w:val="微软雅黑"/>
    <w:panose1 w:val="03000509000000000000"/>
    <w:charset w:val="00"/>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8"/>
        <w:rFonts w:hint="eastAsia" w:ascii="仿宋_GB2312"/>
        <w:sz w:val="28"/>
        <w:szCs w:val="28"/>
      </w:rPr>
    </w:pPr>
    <w:r>
      <w:rPr>
        <w:rStyle w:val="8"/>
        <w:rFonts w:hint="eastAsia" w:ascii="仿宋_GB2312"/>
        <w:sz w:val="28"/>
        <w:szCs w:val="28"/>
      </w:rPr>
      <w:fldChar w:fldCharType="begin"/>
    </w:r>
    <w:r>
      <w:rPr>
        <w:rStyle w:val="8"/>
        <w:rFonts w:hint="eastAsia" w:ascii="仿宋_GB2312"/>
        <w:sz w:val="28"/>
        <w:szCs w:val="28"/>
      </w:rPr>
      <w:instrText xml:space="preserve">PAGE  </w:instrText>
    </w:r>
    <w:r>
      <w:rPr>
        <w:rStyle w:val="8"/>
        <w:rFonts w:hint="eastAsia" w:ascii="仿宋_GB2312"/>
        <w:sz w:val="28"/>
        <w:szCs w:val="28"/>
      </w:rPr>
      <w:fldChar w:fldCharType="separate"/>
    </w:r>
    <w:r>
      <w:rPr>
        <w:rStyle w:val="8"/>
        <w:rFonts w:ascii="仿宋_GB2312"/>
        <w:sz w:val="28"/>
        <w:szCs w:val="28"/>
      </w:rPr>
      <w:t>- 1 -</w:t>
    </w:r>
    <w:r>
      <w:rPr>
        <w:rStyle w:val="8"/>
        <w:rFonts w:hint="eastAsia" w:ascii="仿宋_GB2312"/>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8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DF"/>
    <w:rsid w:val="0001071E"/>
    <w:rsid w:val="0004690A"/>
    <w:rsid w:val="000A171B"/>
    <w:rsid w:val="000A46C0"/>
    <w:rsid w:val="0012771D"/>
    <w:rsid w:val="00141EBE"/>
    <w:rsid w:val="001E44B7"/>
    <w:rsid w:val="001E79D7"/>
    <w:rsid w:val="001F58DF"/>
    <w:rsid w:val="00200BF5"/>
    <w:rsid w:val="002324F7"/>
    <w:rsid w:val="00262575"/>
    <w:rsid w:val="00312D13"/>
    <w:rsid w:val="00330B91"/>
    <w:rsid w:val="00357A29"/>
    <w:rsid w:val="00374EFD"/>
    <w:rsid w:val="00387CD4"/>
    <w:rsid w:val="00397332"/>
    <w:rsid w:val="003A1A57"/>
    <w:rsid w:val="003A6D58"/>
    <w:rsid w:val="003D29B0"/>
    <w:rsid w:val="003F00D5"/>
    <w:rsid w:val="003F4E85"/>
    <w:rsid w:val="00422D6C"/>
    <w:rsid w:val="0043258A"/>
    <w:rsid w:val="004368B8"/>
    <w:rsid w:val="004744C8"/>
    <w:rsid w:val="0048290C"/>
    <w:rsid w:val="004948B5"/>
    <w:rsid w:val="004A34D9"/>
    <w:rsid w:val="004C2944"/>
    <w:rsid w:val="004D6F4D"/>
    <w:rsid w:val="004D6F51"/>
    <w:rsid w:val="004E019E"/>
    <w:rsid w:val="00522652"/>
    <w:rsid w:val="00526D05"/>
    <w:rsid w:val="00550F66"/>
    <w:rsid w:val="00567D8B"/>
    <w:rsid w:val="00572DCE"/>
    <w:rsid w:val="005813A0"/>
    <w:rsid w:val="00585B51"/>
    <w:rsid w:val="005A3ADE"/>
    <w:rsid w:val="005C0B36"/>
    <w:rsid w:val="00612220"/>
    <w:rsid w:val="006234D8"/>
    <w:rsid w:val="006D6ACC"/>
    <w:rsid w:val="006E42B0"/>
    <w:rsid w:val="007217F6"/>
    <w:rsid w:val="00726D66"/>
    <w:rsid w:val="0073726F"/>
    <w:rsid w:val="00742EF7"/>
    <w:rsid w:val="007911DD"/>
    <w:rsid w:val="0081278F"/>
    <w:rsid w:val="008150D3"/>
    <w:rsid w:val="00820544"/>
    <w:rsid w:val="008827AE"/>
    <w:rsid w:val="00884EA2"/>
    <w:rsid w:val="00886D19"/>
    <w:rsid w:val="008A61BF"/>
    <w:rsid w:val="008E02AB"/>
    <w:rsid w:val="008F57A4"/>
    <w:rsid w:val="00915EFE"/>
    <w:rsid w:val="009163A8"/>
    <w:rsid w:val="0092154D"/>
    <w:rsid w:val="00923443"/>
    <w:rsid w:val="00927760"/>
    <w:rsid w:val="009376F9"/>
    <w:rsid w:val="0095265A"/>
    <w:rsid w:val="00970A52"/>
    <w:rsid w:val="009F6D7F"/>
    <w:rsid w:val="009F7A9B"/>
    <w:rsid w:val="00A07D88"/>
    <w:rsid w:val="00A17EAD"/>
    <w:rsid w:val="00A2223D"/>
    <w:rsid w:val="00A65D9A"/>
    <w:rsid w:val="00A95259"/>
    <w:rsid w:val="00AC1AAA"/>
    <w:rsid w:val="00B37257"/>
    <w:rsid w:val="00B533CA"/>
    <w:rsid w:val="00B54798"/>
    <w:rsid w:val="00BA4B3F"/>
    <w:rsid w:val="00BB256C"/>
    <w:rsid w:val="00BB3ACF"/>
    <w:rsid w:val="00C01B2A"/>
    <w:rsid w:val="00C20E4D"/>
    <w:rsid w:val="00C46C5C"/>
    <w:rsid w:val="00C74F85"/>
    <w:rsid w:val="00C857E3"/>
    <w:rsid w:val="00C97AB5"/>
    <w:rsid w:val="00CA7C7A"/>
    <w:rsid w:val="00CD7065"/>
    <w:rsid w:val="00CE0205"/>
    <w:rsid w:val="00CE26BC"/>
    <w:rsid w:val="00D12165"/>
    <w:rsid w:val="00D12495"/>
    <w:rsid w:val="00D449CB"/>
    <w:rsid w:val="00DA4613"/>
    <w:rsid w:val="00DB6587"/>
    <w:rsid w:val="00DF7C4E"/>
    <w:rsid w:val="00E2313F"/>
    <w:rsid w:val="00E90880"/>
    <w:rsid w:val="00E9175D"/>
    <w:rsid w:val="00EF055E"/>
    <w:rsid w:val="00F1776F"/>
    <w:rsid w:val="00F43D12"/>
    <w:rsid w:val="00F60493"/>
    <w:rsid w:val="00F64873"/>
    <w:rsid w:val="00F94A33"/>
    <w:rsid w:val="00FE61CF"/>
    <w:rsid w:val="00FE652D"/>
    <w:rsid w:val="00FF24A7"/>
    <w:rsid w:val="3FFF1485"/>
    <w:rsid w:val="667A4696"/>
    <w:rsid w:val="99BF57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link w:val="9"/>
    <w:uiPriority w:val="0"/>
    <w:pPr>
      <w:pBdr>
        <w:top w:val="single" w:color="auto" w:sz="6" w:space="1"/>
        <w:bottom w:val="single" w:color="auto" w:sz="6" w:space="1"/>
      </w:pBdr>
    </w:pPr>
    <w:rPr>
      <w:rFonts w:ascii="仿宋_GB231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customStyle="1" w:styleId="9">
    <w:name w:val="正文文本 字符"/>
    <w:link w:val="2"/>
    <w:uiPriority w:val="0"/>
    <w:rPr>
      <w:rFonts w:ascii="仿宋_GB2312" w:eastAsia="仿宋_GB2312"/>
      <w:kern w:val="2"/>
      <w:sz w:val="32"/>
      <w:szCs w:val="24"/>
      <w:lang w:val="en-US" w:eastAsia="zh-CN" w:bidi="ar-SA"/>
    </w:rPr>
  </w:style>
  <w:style w:type="character" w:customStyle="1" w:styleId="10">
    <w:name w:val="font01"/>
    <w:uiPriority w:val="0"/>
    <w:rPr>
      <w:rFonts w:hint="eastAsia" w:ascii="宋体" w:hAnsi="宋体" w:eastAsia="宋体" w:cs="宋体"/>
      <w:color w:val="000000"/>
      <w:sz w:val="22"/>
      <w:szCs w:val="22"/>
      <w:u w:val="none"/>
    </w:rPr>
  </w:style>
  <w:style w:type="character" w:customStyle="1" w:styleId="11">
    <w:name w:val="font31"/>
    <w:uiPriority w:val="0"/>
    <w:rPr>
      <w:rFonts w:hint="eastAsia" w:ascii="仿宋" w:hAnsi="仿宋" w:eastAsia="仿宋" w:cs="仿宋"/>
      <w:color w:val="000000"/>
      <w:sz w:val="22"/>
      <w:szCs w:val="22"/>
      <w:u w:val="none"/>
    </w:rPr>
  </w:style>
  <w:style w:type="character" w:customStyle="1" w:styleId="12">
    <w:name w:val="font41"/>
    <w:uiPriority w:val="0"/>
    <w:rPr>
      <w:rFonts w:hint="eastAsia" w:ascii="宋体" w:hAnsi="宋体" w:eastAsia="宋体" w:cs="宋体"/>
      <w:color w:val="000000"/>
      <w:sz w:val="24"/>
      <w:szCs w:val="24"/>
      <w:u w:val="none"/>
    </w:rPr>
  </w:style>
  <w:style w:type="character" w:customStyle="1" w:styleId="13">
    <w:name w:val="font11"/>
    <w:uiPriority w:val="0"/>
    <w:rPr>
      <w:rFonts w:hint="eastAsia" w:ascii="仿宋" w:hAnsi="仿宋" w:eastAsia="仿宋" w:cs="仿宋"/>
      <w:color w:val="000000"/>
      <w:sz w:val="24"/>
      <w:szCs w:val="24"/>
      <w:u w:val="none"/>
    </w:rPr>
  </w:style>
  <w:style w:type="character" w:customStyle="1" w:styleId="14">
    <w:name w:val="font21"/>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2526</Words>
  <Characters>14401</Characters>
  <Lines>120</Lines>
  <Paragraphs>33</Paragraphs>
  <TotalTime>3</TotalTime>
  <ScaleCrop>false</ScaleCrop>
  <LinksUpToDate>false</LinksUpToDate>
  <CharactersWithSpaces>16894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2021-06-30T22:05:00Z</dcterms:created>
  <dc:creator>杨仲璐; 高家玺(gjiaxi)</dc:creator>
  <cp:lastModifiedBy>Administrator</cp:lastModifiedBy>
  <dcterms:modified xsi:type="dcterms:W3CDTF">2021-07-25T16:31:36Z</dcterms:modified>
  <dc:title>杭建计通知（2004）1号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06F8E1AE99894473B4CF6D600A0461DA</vt:lpwstr>
  </property>
</Properties>
</file>