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" w:name="_GoBack"/>
      <w:bookmarkEnd w:id="1"/>
      <w:r>
        <w:rPr>
          <w:rFonts w:hint="eastAsia" w:ascii="宋体" w:hAnsi="宋体" w:eastAsia="宋体" w:cs="宋体"/>
          <w:sz w:val="24"/>
          <w:szCs w:val="24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10"/>
          <w:szCs w:val="1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“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浙江省建工杯”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202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年杭州市“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保亚运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”建筑施工危大工程专项施工方案编制技能大赛作品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技术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要求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及评分标准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一、作品范围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属于危险性较大的分部分项工程范围的脚手架方案，主要包括：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搭设高度24m及以上的落地式钢管脚手架工程（包括采光井、电梯井脚手架）。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附着式升降脚手架工程。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悬挑式脚手架工程。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鼓励采用工具式脚手架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sz w:val="28"/>
          <w:szCs w:val="28"/>
        </w:rPr>
        <w:t>采用新技术、新工艺、新材料、新设备可能影响工程施工安全，尚无国家、行业及地方技术标准的脚手架工程。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二、纸质版资料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大赛报名表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一份</w:t>
      </w:r>
      <w:r>
        <w:rPr>
          <w:rFonts w:hint="eastAsia" w:ascii="宋体" w:hAnsi="宋体" w:eastAsia="宋体" w:cs="宋体"/>
          <w:sz w:val="28"/>
          <w:szCs w:val="28"/>
        </w:rPr>
        <w:t>（加盖公司或项目公章）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危大工程专项施工方案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三份</w:t>
      </w:r>
      <w:r>
        <w:rPr>
          <w:rFonts w:hint="eastAsia" w:ascii="宋体" w:hAnsi="宋体" w:eastAsia="宋体" w:cs="宋体"/>
          <w:sz w:val="28"/>
          <w:szCs w:val="28"/>
        </w:rPr>
        <w:t>，方案文本中不允许出现项目、公司名称以及具体人员姓名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三、方案文本要求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8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val="en-US" w:eastAsia="en-US"/>
        </w:rPr>
        <w:t>A4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双面打印，标题用三号、内容用四号宋体字，行间距均为</w:t>
      </w:r>
      <w:r>
        <w:rPr>
          <w:rFonts w:hint="eastAsia" w:ascii="宋体" w:hAnsi="宋体" w:eastAsia="宋体" w:cs="宋体"/>
          <w:sz w:val="28"/>
          <w:szCs w:val="28"/>
          <w:lang w:val="en-US" w:eastAsia="en-US"/>
        </w:rPr>
        <w:t>1.5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倍，绘制附图用A3打印，文本和附图中不得出现编写单位、项目、地址及编写人的名称等相关信息。文本和附图无页眉页脚，文本页码底部居中显示，黑白打印。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sz w:val="28"/>
          <w:szCs w:val="28"/>
        </w:rPr>
        <w:t>方案内容及编排可参考“</w:t>
      </w:r>
      <w:r>
        <w:rPr>
          <w:rFonts w:ascii="Times New Roman" w:hAnsi="Times New Roman" w:eastAsia="宋体" w:cs="Times New Roman"/>
          <w:sz w:val="28"/>
          <w:szCs w:val="28"/>
        </w:rPr>
        <w:t>建办质〔2018〕31号文</w:t>
      </w:r>
      <w:r>
        <w:rPr>
          <w:rFonts w:hint="eastAsia" w:ascii="Times New Roman" w:hAnsi="Times New Roman" w:eastAsia="宋体" w:cs="Times New Roman"/>
          <w:sz w:val="28"/>
          <w:szCs w:val="28"/>
        </w:rPr>
        <w:t>”、“</w:t>
      </w:r>
      <w:r>
        <w:rPr>
          <w:rFonts w:ascii="Times New Roman" w:hAnsi="Times New Roman" w:eastAsia="宋体" w:cs="Times New Roman"/>
          <w:sz w:val="28"/>
          <w:szCs w:val="28"/>
        </w:rPr>
        <w:t>建办质〔2021〕48号文</w:t>
      </w:r>
      <w:r>
        <w:rPr>
          <w:rFonts w:hint="eastAsia" w:ascii="Times New Roman" w:hAnsi="Times New Roman" w:eastAsia="宋体" w:cs="Times New Roman"/>
          <w:sz w:val="28"/>
          <w:szCs w:val="28"/>
        </w:rPr>
        <w:t>《危险性较大的分部分项工程专项施工方案编制指南》”的相关要求。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3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.</w:t>
      </w:r>
      <w:r>
        <w:rPr>
          <w:rFonts w:ascii="Times New Roman" w:hAnsi="Times New Roman" w:eastAsia="宋体" w:cs="Times New Roman"/>
          <w:sz w:val="28"/>
          <w:szCs w:val="28"/>
        </w:rPr>
        <w:t>方案页数文字不宜超过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15</w:t>
      </w:r>
      <w:r>
        <w:rPr>
          <w:rFonts w:ascii="Times New Roman" w:hAnsi="Times New Roman" w:eastAsia="宋体" w:cs="Times New Roman"/>
          <w:sz w:val="28"/>
          <w:szCs w:val="28"/>
        </w:rPr>
        <w:t>0页，附图不宜超过20张。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四、其他要求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.</w:t>
      </w:r>
      <w:r>
        <w:rPr>
          <w:rFonts w:ascii="Times New Roman" w:hAnsi="Times New Roman" w:eastAsia="宋体" w:cs="Times New Roman"/>
          <w:sz w:val="28"/>
          <w:szCs w:val="28"/>
        </w:rPr>
        <w:t>如果属于超过一定规模危大工程</w:t>
      </w:r>
      <w:r>
        <w:rPr>
          <w:rFonts w:hint="eastAsia" w:ascii="Times New Roman" w:hAnsi="Times New Roman" w:eastAsia="宋体" w:cs="Times New Roman"/>
          <w:sz w:val="28"/>
          <w:szCs w:val="28"/>
        </w:rPr>
        <w:t>，</w:t>
      </w:r>
      <w:r>
        <w:rPr>
          <w:rFonts w:ascii="Times New Roman" w:hAnsi="Times New Roman" w:eastAsia="宋体" w:cs="Times New Roman"/>
          <w:sz w:val="28"/>
          <w:szCs w:val="28"/>
        </w:rPr>
        <w:t>应注明方案是否经过专家论证，论证过的方案应附专家论证报告</w:t>
      </w:r>
      <w:r>
        <w:rPr>
          <w:rFonts w:hint="eastAsia" w:ascii="Times New Roman" w:hAnsi="Times New Roman" w:eastAsia="宋体" w:cs="Times New Roman"/>
          <w:sz w:val="28"/>
          <w:szCs w:val="28"/>
        </w:rPr>
        <w:t>（包括修改回复单）。</w:t>
      </w:r>
      <w:r>
        <w:rPr>
          <w:rFonts w:ascii="Times New Roman" w:hAnsi="Times New Roman" w:eastAsia="宋体" w:cs="Times New Roman"/>
          <w:sz w:val="28"/>
          <w:szCs w:val="28"/>
        </w:rPr>
        <w:t>无需论证的方案有内外部审批流程表即可。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.</w:t>
      </w:r>
      <w:r>
        <w:rPr>
          <w:rFonts w:ascii="Times New Roman" w:hAnsi="Times New Roman" w:eastAsia="宋体" w:cs="Times New Roman"/>
          <w:sz w:val="28"/>
          <w:szCs w:val="28"/>
        </w:rPr>
        <w:t>已经实施的方案需附安全技术交底记录，未实施的方案仅需附安全技术交底内容即可。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ascii="Times New Roman" w:hAnsi="Times New Roman" w:eastAsia="宋体" w:cs="Times New Roman"/>
          <w:sz w:val="28"/>
          <w:szCs w:val="28"/>
        </w:rPr>
        <w:t>3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.</w:t>
      </w:r>
      <w:r>
        <w:rPr>
          <w:rFonts w:ascii="Times New Roman" w:hAnsi="Times New Roman" w:eastAsia="宋体" w:cs="Times New Roman"/>
          <w:sz w:val="28"/>
          <w:szCs w:val="28"/>
        </w:rPr>
        <w:t>有应用BIM技术的可提交BIM相关模型资料。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both"/>
        <w:textAlignment w:val="auto"/>
        <w:rPr>
          <w:rFonts w:hint="eastAsia" w:ascii="微软雅黑" w:hAnsi="微软雅黑" w:eastAsia="微软雅黑" w:cs="仿宋_GB2312"/>
          <w:b/>
          <w:bCs/>
          <w:sz w:val="28"/>
          <w:szCs w:val="28"/>
        </w:rPr>
      </w:pPr>
      <w:bookmarkStart w:id="0" w:name="_Hlk65851038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五、初赛评分标准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（详见下页）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1.落地式脚手架专项施工方案评分标准</w:t>
      </w:r>
    </w:p>
    <w:tbl>
      <w:tblPr>
        <w:tblStyle w:val="8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356"/>
        <w:gridCol w:w="339"/>
        <w:gridCol w:w="1695"/>
        <w:gridCol w:w="1695"/>
        <w:gridCol w:w="169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评分组成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评分项目</w:t>
            </w:r>
          </w:p>
        </w:tc>
        <w:tc>
          <w:tcPr>
            <w:tcW w:w="7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2" w:hRule="atLeast"/>
          <w:jc w:val="center"/>
        </w:trPr>
        <w:tc>
          <w:tcPr>
            <w:tcW w:w="131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方案内容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（100分）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编制质量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50分</w:t>
            </w:r>
          </w:p>
        </w:tc>
        <w:tc>
          <w:tcPr>
            <w:tcW w:w="7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内容完整性：符合建办质〔2018〕31号文要求，难易程度；（13分）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工艺技术：包括脚手架类型，架体搭设参数选择，脚手架基础，连墙件参数做法，剪刀撑构造措施；脚手架搭设和安装、使用、拆除工艺流程；脚手架主要材料进场质量检查，阶段检查项目及内容等；（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安全保证措施：组织保障、技术措施、监测措施明确，危大工程管理制度切实可行，应急预案符合要求；（17分）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BIM应用（如有）：脚手架布置模型、节点图；构件绘制规范，符合建筑、结构及方案设计的真实情况；（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排版格式层次清晰、规范整洁；（3分）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施工图纸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5分</w:t>
            </w:r>
          </w:p>
        </w:tc>
        <w:tc>
          <w:tcPr>
            <w:tcW w:w="7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施工图纸：包括脚手架平面布置、立（剖）面图（包括剪刀撑布置）、脚手架基础节点图、连墙件布置、节点详图、塔机施工升降机及其他特殊部位布置及构造图等；（15分）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计算书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15分</w:t>
            </w:r>
          </w:p>
        </w:tc>
        <w:tc>
          <w:tcPr>
            <w:tcW w:w="7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计算内容应包含：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水平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杆件验算、连接扣件的抗滑移、立杆稳定性、连墙件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验算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、落地架立杆地基（或楼板）承载力等；（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计算依据准确，各类参数选择准确、合理；（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荷载取值准确；（3分）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计算模型选择准确、计算公式准确；（3分）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方案审批及现场验收15分</w:t>
            </w:r>
          </w:p>
        </w:tc>
        <w:tc>
          <w:tcPr>
            <w:tcW w:w="71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审批程序符合住建部37号令相关要求，包括审核审批记录、专家论证报告、修改情况说明、签章手续是否齐全等；（8分）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验收程序，包括参加验收人员、验收组织程序、验收记录等。（7分）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经验总结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5分</w:t>
            </w:r>
          </w:p>
        </w:tc>
        <w:tc>
          <w:tcPr>
            <w:tcW w:w="711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总结出可供本单位和同行学习、借鉴的经验。（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方案内容得分</w:t>
            </w:r>
          </w:p>
        </w:tc>
        <w:tc>
          <w:tcPr>
            <w:tcW w:w="8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命题实操得分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培训考试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得分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现场答辩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得分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总分</w:t>
            </w:r>
          </w:p>
        </w:tc>
        <w:tc>
          <w:tcPr>
            <w:tcW w:w="8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（方案分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0%，培训考试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0%，命题实操30%，现场答辩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0%）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2.附着式升降脚手架专项施工方案评分标准</w:t>
      </w:r>
    </w:p>
    <w:tbl>
      <w:tblPr>
        <w:tblStyle w:val="8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358"/>
        <w:gridCol w:w="337"/>
        <w:gridCol w:w="1695"/>
        <w:gridCol w:w="1695"/>
        <w:gridCol w:w="169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评分组成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评分项目</w:t>
            </w:r>
          </w:p>
        </w:tc>
        <w:tc>
          <w:tcPr>
            <w:tcW w:w="7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31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方案内容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（100分）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编制质量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50分</w:t>
            </w:r>
          </w:p>
        </w:tc>
        <w:tc>
          <w:tcPr>
            <w:tcW w:w="7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内容完整性：符合建办质〔2018〕31号文要求，难易程度；（13分）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工艺技术：包括脚手架类型、搭设参数选择，架体结构、附着支承结构、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荷载控制系统及动力系统等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技术参数；架体安装、升降、使用、拆除具体方法；附着式升降脚手架的安全装置（如防倾覆、防坠落等）设置，安全防护设置；架体下降（如有）安全专项措施；特殊部位加强构造措施；（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安全保证措施：组织保障、技术措施、监测措施明确，危大工程管理制度切实可行，应急预案符合要求；（17分）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BIM应用（如有）：脚手架布置模型、节点图；构件绘制规范，符合建筑、结构及方案设计的真实情况；（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排版格式层次清晰、规范整洁；（3分）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施工图纸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质量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5分</w:t>
            </w:r>
          </w:p>
        </w:tc>
        <w:tc>
          <w:tcPr>
            <w:tcW w:w="7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施工图纸：包括脚手架平面布置、立（剖）面图、提升机位布置图纸、附着支撑结构布置图及节点详图、特殊部位布置及构造图纸等；（15分）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计算书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15分</w:t>
            </w:r>
          </w:p>
        </w:tc>
        <w:tc>
          <w:tcPr>
            <w:tcW w:w="7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计算内容应包含：竖向主框架、水平支承桁架、架体构架构件的验算，附着支承构件、预埋螺栓及附着处混凝土局部承压验算，连接节点计算等；（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计算依据准确，各类参数选择准确、合理；（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荷载取值准确；（3分）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计算模型选择准确、计算公式准确；（3分）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方案审批及现场验收15分</w:t>
            </w:r>
          </w:p>
        </w:tc>
        <w:tc>
          <w:tcPr>
            <w:tcW w:w="71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审批程序符合住建部37号令相关要求，包括审核审批记录、专家论证报告、修改情况说明、签章手续是否齐全等；（8分）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验收程序符合建办质〔2018〕31号文、住建部37号令相关要求，包括参加验收人员、验收组织程序、验收记录等。（7分）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经验总结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分</w:t>
            </w:r>
          </w:p>
        </w:tc>
        <w:tc>
          <w:tcPr>
            <w:tcW w:w="711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总结出可供本单位和同行学习、借鉴的经验。（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方案内容得分</w:t>
            </w:r>
          </w:p>
        </w:tc>
        <w:tc>
          <w:tcPr>
            <w:tcW w:w="8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命题实操得分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培训考试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得分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现场答辩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得分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总分</w:t>
            </w:r>
          </w:p>
        </w:tc>
        <w:tc>
          <w:tcPr>
            <w:tcW w:w="8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（方案分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0%，培训考试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0%，命题实操30%，现场答辩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0%）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3.悬挑式脚手架专项施工方案评分标准</w:t>
      </w:r>
    </w:p>
    <w:tbl>
      <w:tblPr>
        <w:tblStyle w:val="8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356"/>
        <w:gridCol w:w="339"/>
        <w:gridCol w:w="1695"/>
        <w:gridCol w:w="1695"/>
        <w:gridCol w:w="169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评分组成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评分项目</w:t>
            </w:r>
          </w:p>
        </w:tc>
        <w:tc>
          <w:tcPr>
            <w:tcW w:w="7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7" w:hRule="atLeast"/>
          <w:jc w:val="center"/>
        </w:trPr>
        <w:tc>
          <w:tcPr>
            <w:tcW w:w="131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方案内容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（100分）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编制质量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50分</w:t>
            </w:r>
          </w:p>
        </w:tc>
        <w:tc>
          <w:tcPr>
            <w:tcW w:w="7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内容完整性：符合建办质〔2018〕31号文要求，难易程度；（13分）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艺技术：包括脚手架类型、搭设参数的选择；悬挑钢梁以及拉杆、螺栓、预埋件等重要构件的规格型号、埋设要求；悬挑平台安装、脚手架搭设、拆除工艺流程；使用过程安全技术要求；脚手架构造措施；主要材料进场质量检查，阶段检查项目及内容等；（13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安全保证措施：组织保障、技术措施、监测措施明确，危大工程管理制度切实可行，应急预案符合要求；（13分）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BIM应用（如有）：脚手架布置模型、节点图；构件绘制规范，符合建筑、结构及方案设计的真实情况；（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排版格式层次清晰、规范整洁；（3分）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施工图纸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5分</w:t>
            </w:r>
          </w:p>
        </w:tc>
        <w:tc>
          <w:tcPr>
            <w:tcW w:w="7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施工图纸：包括脚手架平面布置、立（剖）面图（包括剪刀撑布置）、悬挑钢梁布置图及相关大样图、连墙件布置及节点详图、特殊部位布置及构造图等；（13分）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计算书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15分</w:t>
            </w:r>
          </w:p>
        </w:tc>
        <w:tc>
          <w:tcPr>
            <w:tcW w:w="7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计算内容应包含：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架体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验算，连墙件验算，悬挑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平台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验算，各工况应齐全；（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计算依据准确，各类参数选择准确、合理；（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荷载取值准确；（3分）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计算模型选择准确、计算公式准确；（3分）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方案审批及现场验收15分</w:t>
            </w:r>
          </w:p>
        </w:tc>
        <w:tc>
          <w:tcPr>
            <w:tcW w:w="71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审批程序符合住建部37号令相关要求，包括审核审批记录、专家论证报告、修改情况说明、签章手续是否齐全等；（8分）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验收程序符合建办质〔2018〕31号文、住建部37号令相关要求，包括参加验收人员、验收组织程序、验收记录等。（7分）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经验总结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5分</w:t>
            </w:r>
          </w:p>
        </w:tc>
        <w:tc>
          <w:tcPr>
            <w:tcW w:w="711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总结出可供本单位和同行学习、借鉴的经验。（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方案内容得分</w:t>
            </w:r>
          </w:p>
        </w:tc>
        <w:tc>
          <w:tcPr>
            <w:tcW w:w="8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命题实操得分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培训考试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得分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现场答辩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得分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总分</w:t>
            </w:r>
          </w:p>
        </w:tc>
        <w:tc>
          <w:tcPr>
            <w:tcW w:w="8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（方案分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0%，培训考试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0%，命题实操30%，现场答辩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0%）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eastAsiaTheme="minorEastAsia"/>
          <w:vanish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mMDgwODkxNDM0Y2MwYmUyZmZjNmNjMWFkOWI3N2UifQ=="/>
  </w:docVars>
  <w:rsids>
    <w:rsidRoot w:val="00CD4AB5"/>
    <w:rsid w:val="00381A83"/>
    <w:rsid w:val="00703003"/>
    <w:rsid w:val="0077154E"/>
    <w:rsid w:val="00AE4824"/>
    <w:rsid w:val="00CD4AB5"/>
    <w:rsid w:val="012A57E4"/>
    <w:rsid w:val="02317E8D"/>
    <w:rsid w:val="0ABB28C0"/>
    <w:rsid w:val="0C800900"/>
    <w:rsid w:val="10F819A0"/>
    <w:rsid w:val="17AE7552"/>
    <w:rsid w:val="18306BD4"/>
    <w:rsid w:val="196C6B6D"/>
    <w:rsid w:val="1AC22D1B"/>
    <w:rsid w:val="1C7B6090"/>
    <w:rsid w:val="1CDA72AF"/>
    <w:rsid w:val="1F7D1409"/>
    <w:rsid w:val="21BE6E8F"/>
    <w:rsid w:val="21D87511"/>
    <w:rsid w:val="220A67A9"/>
    <w:rsid w:val="22263285"/>
    <w:rsid w:val="23443672"/>
    <w:rsid w:val="252A48E2"/>
    <w:rsid w:val="26845202"/>
    <w:rsid w:val="2931300F"/>
    <w:rsid w:val="2AD41BC4"/>
    <w:rsid w:val="2C0A47AA"/>
    <w:rsid w:val="2C5C1A8E"/>
    <w:rsid w:val="2CEA5212"/>
    <w:rsid w:val="32E621CA"/>
    <w:rsid w:val="336B463A"/>
    <w:rsid w:val="34B8125A"/>
    <w:rsid w:val="384D672F"/>
    <w:rsid w:val="396E5E16"/>
    <w:rsid w:val="3B3E6CE3"/>
    <w:rsid w:val="3C0C4E60"/>
    <w:rsid w:val="3D872915"/>
    <w:rsid w:val="3DF90073"/>
    <w:rsid w:val="3F3C4589"/>
    <w:rsid w:val="3FA331E4"/>
    <w:rsid w:val="4110260D"/>
    <w:rsid w:val="486B3FA2"/>
    <w:rsid w:val="4D5C4E5D"/>
    <w:rsid w:val="4D844549"/>
    <w:rsid w:val="4DAD1CF2"/>
    <w:rsid w:val="4EF1117D"/>
    <w:rsid w:val="515A3F3F"/>
    <w:rsid w:val="5168449D"/>
    <w:rsid w:val="51AB04D2"/>
    <w:rsid w:val="5426253E"/>
    <w:rsid w:val="562569D1"/>
    <w:rsid w:val="59506D84"/>
    <w:rsid w:val="5A3F3C9A"/>
    <w:rsid w:val="5B6C0F4D"/>
    <w:rsid w:val="5C573545"/>
    <w:rsid w:val="5EAD3BF2"/>
    <w:rsid w:val="5F323204"/>
    <w:rsid w:val="5F771188"/>
    <w:rsid w:val="5FAE74F2"/>
    <w:rsid w:val="609D5BF6"/>
    <w:rsid w:val="60CA4351"/>
    <w:rsid w:val="612D3529"/>
    <w:rsid w:val="62AD6B84"/>
    <w:rsid w:val="676135E3"/>
    <w:rsid w:val="6E99435C"/>
    <w:rsid w:val="6EAF2496"/>
    <w:rsid w:val="73C94955"/>
    <w:rsid w:val="75201795"/>
    <w:rsid w:val="76AD049F"/>
    <w:rsid w:val="7C667B83"/>
    <w:rsid w:val="7E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1"/>
    <w:pPr>
      <w:spacing w:before="44"/>
      <w:ind w:left="679"/>
    </w:pPr>
    <w:rPr>
      <w:rFonts w:ascii="宋体" w:hAnsi="宋体" w:eastAsia="宋体"/>
      <w:sz w:val="28"/>
      <w:szCs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15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2">
    <w:name w:val="red"/>
    <w:basedOn w:val="10"/>
    <w:qFormat/>
    <w:uiPriority w:val="0"/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字符"/>
    <w:basedOn w:val="14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4520</Words>
  <Characters>4883</Characters>
  <Lines>44</Lines>
  <Paragraphs>12</Paragraphs>
  <TotalTime>0</TotalTime>
  <ScaleCrop>false</ScaleCrop>
  <LinksUpToDate>false</LinksUpToDate>
  <CharactersWithSpaces>5003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2021-05-01T00:53:00Z</dcterms:created>
  <dc:creator>朱 露菊</dc:creator>
  <cp:lastModifiedBy>周奕</cp:lastModifiedBy>
  <cp:lastPrinted>2023-04-03T06:13:00Z</cp:lastPrinted>
  <dcterms:modified xsi:type="dcterms:W3CDTF">2023-04-03T08:02:49Z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9CAD1978E70149ACA26D368EE834BA48</vt:lpwstr>
  </property>
</Properties>
</file>